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25B" w:rsidRDefault="007A4A8B" w:rsidP="0026767C">
      <w:pPr>
        <w:spacing w:after="0" w:line="240" w:lineRule="auto"/>
        <w:rPr>
          <w:i/>
          <w:sz w:val="8"/>
          <w:szCs w:val="8"/>
        </w:rPr>
      </w:pPr>
      <w:bookmarkStart w:id="0" w:name="_GoBack"/>
      <w:bookmarkEnd w:id="0"/>
      <w:r w:rsidRPr="003116DC">
        <w:rPr>
          <w:rFonts w:ascii="Arial Narrow" w:hAnsi="Arial Narrow"/>
          <w:noProof/>
          <w:sz w:val="20"/>
          <w:u w:val="single"/>
          <w:lang w:eastAsia="fr-FR"/>
        </w:rPr>
        <w:drawing>
          <wp:anchor distT="0" distB="0" distL="114300" distR="114300" simplePos="0" relativeHeight="251660288" behindDoc="1" locked="0" layoutInCell="1" allowOverlap="1" wp14:anchorId="0FCBDF6C" wp14:editId="1B46F573">
            <wp:simplePos x="0" y="0"/>
            <wp:positionH relativeFrom="margin">
              <wp:align>center</wp:align>
            </wp:positionH>
            <wp:positionV relativeFrom="paragraph">
              <wp:posOffset>33020</wp:posOffset>
            </wp:positionV>
            <wp:extent cx="1057275" cy="655955"/>
            <wp:effectExtent l="0" t="0" r="9525" b="0"/>
            <wp:wrapTight wrapText="bothSides">
              <wp:wrapPolygon edited="0">
                <wp:start x="0" y="0"/>
                <wp:lineTo x="0" y="20701"/>
                <wp:lineTo x="21405" y="20701"/>
                <wp:lineTo x="21405" y="0"/>
                <wp:lineTo x="0" y="0"/>
              </wp:wrapPolygon>
            </wp:wrapTight>
            <wp:docPr id="4" name="Image 4" descr="C:\Users\ahiardot\Desktop\l_europe_s_engage_avec_le_feader_vec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hiardot\Desktop\l_europe_s_engage_avec_le_feader_vect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7275" cy="655955"/>
                    </a:xfrm>
                    <a:prstGeom prst="rect">
                      <a:avLst/>
                    </a:prstGeom>
                    <a:noFill/>
                    <a:ln>
                      <a:noFill/>
                    </a:ln>
                  </pic:spPr>
                </pic:pic>
              </a:graphicData>
            </a:graphic>
            <wp14:sizeRelV relativeFrom="margin">
              <wp14:pctHeight>0</wp14:pctHeight>
            </wp14:sizeRelV>
          </wp:anchor>
        </w:drawing>
      </w:r>
      <w:r w:rsidRPr="005A2CBD">
        <w:rPr>
          <w:noProof/>
          <w:lang w:eastAsia="fr-FR"/>
        </w:rPr>
        <w:drawing>
          <wp:anchor distT="0" distB="0" distL="114300" distR="114300" simplePos="0" relativeHeight="251662336" behindDoc="0" locked="0" layoutInCell="1" allowOverlap="1" wp14:anchorId="025D76D3" wp14:editId="56A43CF1">
            <wp:simplePos x="0" y="0"/>
            <wp:positionH relativeFrom="margin">
              <wp:posOffset>5014595</wp:posOffset>
            </wp:positionH>
            <wp:positionV relativeFrom="paragraph">
              <wp:posOffset>28575</wp:posOffset>
            </wp:positionV>
            <wp:extent cx="665480" cy="665480"/>
            <wp:effectExtent l="0" t="0" r="1270" b="127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5480" cy="6654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58240" behindDoc="0" locked="0" layoutInCell="1" allowOverlap="1">
            <wp:simplePos x="0" y="0"/>
            <wp:positionH relativeFrom="column">
              <wp:posOffset>-62230</wp:posOffset>
            </wp:positionH>
            <wp:positionV relativeFrom="paragraph">
              <wp:posOffset>0</wp:posOffset>
            </wp:positionV>
            <wp:extent cx="1095375" cy="774065"/>
            <wp:effectExtent l="0" t="0" r="9525" b="6985"/>
            <wp:wrapSquare wrapText="bothSides"/>
            <wp:docPr id="1" name="Image 1" descr="LOGO 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LOGO UE"/>
                    <pic:cNvPicPr>
                      <a:picLocks noChangeAspect="1" noChangeArrowheads="1"/>
                    </pic:cNvPicPr>
                  </pic:nvPicPr>
                  <pic:blipFill>
                    <a:blip r:embed="rId10">
                      <a:extLst>
                        <a:ext uri="{28A0092B-C50C-407E-A947-70E740481C1C}">
                          <a14:useLocalDpi xmlns:a14="http://schemas.microsoft.com/office/drawing/2010/main" val="0"/>
                        </a:ext>
                      </a:extLst>
                    </a:blip>
                    <a:srcRect l="2895" t="4762"/>
                    <a:stretch>
                      <a:fillRect/>
                    </a:stretch>
                  </pic:blipFill>
                  <pic:spPr bwMode="auto">
                    <a:xfrm>
                      <a:off x="0" y="0"/>
                      <a:ext cx="1095375" cy="774065"/>
                    </a:xfrm>
                    <a:prstGeom prst="rect">
                      <a:avLst/>
                    </a:prstGeom>
                    <a:noFill/>
                    <a:ln>
                      <a:noFill/>
                    </a:ln>
                  </pic:spPr>
                </pic:pic>
              </a:graphicData>
            </a:graphic>
          </wp:anchor>
        </w:drawing>
      </w:r>
      <w:r>
        <w:rPr>
          <w:i/>
          <w:sz w:val="36"/>
          <w:szCs w:val="36"/>
        </w:rPr>
        <w:br w:type="textWrapping" w:clear="all"/>
      </w:r>
    </w:p>
    <w:p w:rsidR="006F582F" w:rsidRDefault="006F582F" w:rsidP="0026767C">
      <w:pPr>
        <w:spacing w:after="0" w:line="240" w:lineRule="auto"/>
        <w:rPr>
          <w:i/>
          <w:sz w:val="8"/>
          <w:szCs w:val="8"/>
        </w:rPr>
      </w:pPr>
    </w:p>
    <w:p w:rsidR="006F582F" w:rsidRDefault="006F582F" w:rsidP="0026767C">
      <w:pPr>
        <w:spacing w:after="0" w:line="240" w:lineRule="auto"/>
        <w:rPr>
          <w:i/>
          <w:sz w:val="8"/>
          <w:szCs w:val="8"/>
        </w:rPr>
      </w:pPr>
    </w:p>
    <w:p w:rsidR="006F582F" w:rsidRPr="007B5C62" w:rsidRDefault="006F582F" w:rsidP="0026767C">
      <w:pPr>
        <w:spacing w:after="0" w:line="240" w:lineRule="auto"/>
        <w:rPr>
          <w:i/>
          <w:sz w:val="8"/>
          <w:szCs w:val="8"/>
        </w:rPr>
      </w:pPr>
    </w:p>
    <w:p w:rsidR="007A4A8B" w:rsidRPr="009804DE" w:rsidRDefault="007A4A8B" w:rsidP="007A4A8B">
      <w:pPr>
        <w:pBdr>
          <w:top w:val="single" w:sz="4" w:space="1" w:color="auto"/>
          <w:left w:val="single" w:sz="4" w:space="4" w:color="auto"/>
          <w:bottom w:val="single" w:sz="4" w:space="1" w:color="auto"/>
          <w:right w:val="single" w:sz="4" w:space="4" w:color="auto"/>
        </w:pBdr>
        <w:spacing w:after="0" w:line="240" w:lineRule="auto"/>
        <w:jc w:val="center"/>
        <w:rPr>
          <w:b/>
          <w:sz w:val="36"/>
          <w:szCs w:val="36"/>
        </w:rPr>
      </w:pPr>
      <w:r w:rsidRPr="009804DE">
        <w:rPr>
          <w:b/>
          <w:sz w:val="36"/>
          <w:szCs w:val="36"/>
        </w:rPr>
        <w:t>ORGANISMES QUALIFIES DE DROIT PUBLIC (OQDP)</w:t>
      </w:r>
    </w:p>
    <w:p w:rsidR="007A4A8B" w:rsidRDefault="007A4A8B" w:rsidP="007A4A8B">
      <w:pPr>
        <w:pBdr>
          <w:top w:val="single" w:sz="4" w:space="1" w:color="auto"/>
          <w:left w:val="single" w:sz="4" w:space="4" w:color="auto"/>
          <w:bottom w:val="single" w:sz="4" w:space="1" w:color="auto"/>
          <w:right w:val="single" w:sz="4" w:space="4" w:color="auto"/>
        </w:pBdr>
        <w:spacing w:after="0" w:line="240" w:lineRule="auto"/>
        <w:jc w:val="center"/>
        <w:rPr>
          <w:b/>
          <w:sz w:val="36"/>
          <w:szCs w:val="36"/>
        </w:rPr>
      </w:pPr>
      <w:r w:rsidRPr="009804DE">
        <w:rPr>
          <w:b/>
          <w:sz w:val="36"/>
          <w:szCs w:val="36"/>
        </w:rPr>
        <w:t>FEADER 2014-2020</w:t>
      </w:r>
    </w:p>
    <w:p w:rsidR="007A4A8B" w:rsidRPr="007B5C62" w:rsidRDefault="007A4A8B" w:rsidP="007A4A8B">
      <w:pPr>
        <w:pBdr>
          <w:top w:val="single" w:sz="4" w:space="1" w:color="auto"/>
          <w:left w:val="single" w:sz="4" w:space="4" w:color="auto"/>
          <w:bottom w:val="single" w:sz="4" w:space="1" w:color="auto"/>
          <w:right w:val="single" w:sz="4" w:space="4" w:color="auto"/>
        </w:pBdr>
        <w:spacing w:after="0" w:line="240" w:lineRule="auto"/>
        <w:jc w:val="center"/>
        <w:rPr>
          <w:b/>
          <w:sz w:val="8"/>
          <w:szCs w:val="8"/>
        </w:rPr>
      </w:pPr>
    </w:p>
    <w:p w:rsidR="007A4A8B" w:rsidRPr="009804DE" w:rsidRDefault="007A4A8B" w:rsidP="007A4A8B">
      <w:pPr>
        <w:pBdr>
          <w:top w:val="single" w:sz="4" w:space="1" w:color="auto"/>
          <w:left w:val="single" w:sz="4" w:space="4" w:color="auto"/>
          <w:bottom w:val="single" w:sz="4" w:space="1" w:color="auto"/>
          <w:right w:val="single" w:sz="4" w:space="4" w:color="auto"/>
        </w:pBdr>
        <w:spacing w:after="0" w:line="240" w:lineRule="auto"/>
        <w:jc w:val="center"/>
        <w:rPr>
          <w:i/>
          <w:sz w:val="36"/>
          <w:szCs w:val="36"/>
        </w:rPr>
      </w:pPr>
      <w:r w:rsidRPr="009804DE">
        <w:rPr>
          <w:i/>
          <w:sz w:val="36"/>
          <w:szCs w:val="36"/>
        </w:rPr>
        <w:t>NOTICE D’INFORMATION</w:t>
      </w:r>
    </w:p>
    <w:p w:rsidR="007A4A8B" w:rsidRDefault="007A4A8B" w:rsidP="0073243E">
      <w:pPr>
        <w:spacing w:after="0" w:line="240" w:lineRule="auto"/>
        <w:jc w:val="both"/>
      </w:pPr>
    </w:p>
    <w:p w:rsidR="004B444E" w:rsidRPr="007B5C62" w:rsidRDefault="005F2D46" w:rsidP="007B5C62">
      <w:pPr>
        <w:spacing w:after="0" w:line="240" w:lineRule="auto"/>
        <w:jc w:val="center"/>
        <w:rPr>
          <w:b/>
          <w:i/>
        </w:rPr>
      </w:pPr>
      <w:r w:rsidRPr="005F2D46">
        <w:rPr>
          <w:b/>
          <w:i/>
        </w:rPr>
        <w:t xml:space="preserve">Cette notice </w:t>
      </w:r>
      <w:r w:rsidR="00F75282">
        <w:rPr>
          <w:b/>
          <w:i/>
        </w:rPr>
        <w:t xml:space="preserve">explicative </w:t>
      </w:r>
      <w:r w:rsidRPr="005F2D46">
        <w:rPr>
          <w:b/>
          <w:i/>
        </w:rPr>
        <w:t>a valeur d’information générale et ne saurait se substituer aux textes de référence</w:t>
      </w:r>
      <w:r w:rsidR="00F75282">
        <w:rPr>
          <w:b/>
          <w:i/>
        </w:rPr>
        <w:t xml:space="preserve"> en vigueur</w:t>
      </w:r>
      <w:r w:rsidRPr="005F2D46">
        <w:rPr>
          <w:b/>
          <w:i/>
        </w:rPr>
        <w:t>.</w:t>
      </w:r>
    </w:p>
    <w:p w:rsidR="00A0574C" w:rsidRDefault="00A0574C" w:rsidP="0073243E">
      <w:pPr>
        <w:spacing w:after="0" w:line="240" w:lineRule="auto"/>
        <w:jc w:val="both"/>
      </w:pPr>
    </w:p>
    <w:p w:rsidR="006F582F" w:rsidRDefault="006F582F" w:rsidP="0073243E">
      <w:pPr>
        <w:spacing w:after="0" w:line="240" w:lineRule="auto"/>
        <w:jc w:val="both"/>
      </w:pPr>
    </w:p>
    <w:p w:rsidR="00A0574C" w:rsidRPr="00A0574C" w:rsidRDefault="00A0574C" w:rsidP="00A0574C">
      <w:pPr>
        <w:shd w:val="clear" w:color="auto" w:fill="0070C0"/>
        <w:spacing w:after="0" w:line="240" w:lineRule="auto"/>
        <w:jc w:val="center"/>
        <w:rPr>
          <w:b/>
          <w:color w:val="FFFFFF" w:themeColor="background1"/>
          <w:sz w:val="8"/>
          <w:szCs w:val="8"/>
        </w:rPr>
      </w:pPr>
    </w:p>
    <w:p w:rsidR="00A840A3" w:rsidRDefault="00E6727C" w:rsidP="00A840A3">
      <w:pPr>
        <w:shd w:val="clear" w:color="auto" w:fill="0070C0"/>
        <w:spacing w:after="0" w:line="240" w:lineRule="auto"/>
        <w:jc w:val="both"/>
        <w:rPr>
          <w:b/>
          <w:color w:val="FFFFFF" w:themeColor="background1"/>
        </w:rPr>
      </w:pPr>
      <w:r>
        <w:rPr>
          <w:b/>
          <w:color w:val="FFFFFF" w:themeColor="background1"/>
        </w:rPr>
        <w:t xml:space="preserve">Un porteur de projet qui souhaite solliciter un cofinancement européen doit justifier du respect de certaines règles </w:t>
      </w:r>
      <w:r w:rsidRPr="00A0574C">
        <w:rPr>
          <w:b/>
          <w:color w:val="FFFFFF" w:themeColor="background1"/>
        </w:rPr>
        <w:t>européennes et nationales</w:t>
      </w:r>
      <w:r>
        <w:rPr>
          <w:b/>
          <w:color w:val="FFFFFF" w:themeColor="background1"/>
        </w:rPr>
        <w:t>, notamment en matière de commande publique.</w:t>
      </w:r>
      <w:r w:rsidR="00A840A3">
        <w:rPr>
          <w:b/>
          <w:color w:val="FFFFFF" w:themeColor="background1"/>
        </w:rPr>
        <w:t xml:space="preserve"> </w:t>
      </w:r>
    </w:p>
    <w:p w:rsidR="00E6727C" w:rsidRDefault="00A840A3" w:rsidP="00A840A3">
      <w:pPr>
        <w:shd w:val="clear" w:color="auto" w:fill="0070C0"/>
        <w:spacing w:after="0" w:line="240" w:lineRule="auto"/>
        <w:jc w:val="both"/>
        <w:rPr>
          <w:b/>
          <w:color w:val="FFFFFF" w:themeColor="background1"/>
        </w:rPr>
      </w:pPr>
      <w:r w:rsidRPr="00A840A3">
        <w:rPr>
          <w:color w:val="FFFFFF" w:themeColor="background1"/>
        </w:rPr>
        <w:sym w:font="Wingdings" w:char="F0C4"/>
      </w:r>
      <w:r>
        <w:rPr>
          <w:b/>
          <w:color w:val="FFFFFF" w:themeColor="background1"/>
        </w:rPr>
        <w:t xml:space="preserve"> Sont soumises aux règles de la commande publique : les personnes morales de droit public par désignation de la loi, et certaines personnes morales de droit priv</w:t>
      </w:r>
      <w:r w:rsidRPr="00A840A3">
        <w:rPr>
          <w:b/>
          <w:color w:val="FFFFFF" w:themeColor="background1"/>
        </w:rPr>
        <w:t>é</w:t>
      </w:r>
      <w:r w:rsidRPr="00A840A3">
        <w:rPr>
          <w:rStyle w:val="Appelnotedebasdep"/>
          <w:b/>
          <w:color w:val="FFFFFF" w:themeColor="background1"/>
        </w:rPr>
        <w:footnoteReference w:id="1"/>
      </w:r>
      <w:r w:rsidRPr="00A840A3">
        <w:rPr>
          <w:b/>
          <w:color w:val="FFFFFF" w:themeColor="background1"/>
        </w:rPr>
        <w:t>.</w:t>
      </w:r>
      <w:r w:rsidRPr="00A840A3">
        <w:rPr>
          <w:color w:val="FFFFFF" w:themeColor="background1"/>
        </w:rPr>
        <w:t xml:space="preserve"> </w:t>
      </w:r>
      <w:r w:rsidR="00E6727C" w:rsidRPr="00A840A3">
        <w:rPr>
          <w:b/>
          <w:color w:val="FFFFFF" w:themeColor="background1"/>
        </w:rPr>
        <w:t xml:space="preserve"> </w:t>
      </w:r>
    </w:p>
    <w:p w:rsidR="00A840A3" w:rsidRDefault="00A840A3" w:rsidP="00A840A3">
      <w:pPr>
        <w:shd w:val="clear" w:color="auto" w:fill="0070C0"/>
        <w:spacing w:after="0" w:line="240" w:lineRule="auto"/>
        <w:jc w:val="both"/>
        <w:rPr>
          <w:b/>
          <w:color w:val="FFFFFF" w:themeColor="background1"/>
        </w:rPr>
      </w:pPr>
    </w:p>
    <w:p w:rsidR="00304581" w:rsidRDefault="009E126E" w:rsidP="00F16CE9">
      <w:pPr>
        <w:shd w:val="clear" w:color="auto" w:fill="0070C0"/>
        <w:spacing w:after="0" w:line="240" w:lineRule="auto"/>
        <w:jc w:val="both"/>
        <w:rPr>
          <w:b/>
          <w:color w:val="FFFFFF" w:themeColor="background1"/>
        </w:rPr>
      </w:pPr>
      <w:r w:rsidRPr="00A0574C">
        <w:rPr>
          <w:b/>
          <w:color w:val="FFFFFF" w:themeColor="background1"/>
        </w:rPr>
        <w:t xml:space="preserve">En tant qu’Autorité de gestion (AG) du FEADER, la Région </w:t>
      </w:r>
      <w:r w:rsidR="004A0B91">
        <w:rPr>
          <w:b/>
          <w:color w:val="FFFFFF" w:themeColor="background1"/>
        </w:rPr>
        <w:t xml:space="preserve">Hauts-de-France </w:t>
      </w:r>
      <w:r w:rsidRPr="00A0574C">
        <w:rPr>
          <w:b/>
          <w:color w:val="FFFFFF" w:themeColor="background1"/>
        </w:rPr>
        <w:t xml:space="preserve">a la responsabilité d’instruire les dossiers dans le respect des règles européennes et nationales. Ces règles imposent d’identifier </w:t>
      </w:r>
      <w:r w:rsidR="00CB51BF">
        <w:rPr>
          <w:b/>
          <w:color w:val="FFFFFF" w:themeColor="background1"/>
        </w:rPr>
        <w:t xml:space="preserve">au préalable </w:t>
      </w:r>
      <w:r w:rsidRPr="00A0574C">
        <w:rPr>
          <w:b/>
          <w:color w:val="FFFFFF" w:themeColor="background1"/>
        </w:rPr>
        <w:t>si une structure demandeuse</w:t>
      </w:r>
      <w:r w:rsidR="00304581">
        <w:rPr>
          <w:b/>
          <w:color w:val="FFFFFF" w:themeColor="background1"/>
        </w:rPr>
        <w:t>,</w:t>
      </w:r>
      <w:r w:rsidRPr="00A0574C">
        <w:rPr>
          <w:b/>
          <w:color w:val="FFFFFF" w:themeColor="background1"/>
        </w:rPr>
        <w:t xml:space="preserve"> </w:t>
      </w:r>
      <w:r w:rsidR="00304581">
        <w:rPr>
          <w:b/>
          <w:color w:val="FFFFFF" w:themeColor="background1"/>
        </w:rPr>
        <w:t>relevant de la catégorie des personnes morales de droit priv</w:t>
      </w:r>
      <w:r w:rsidR="00304581" w:rsidRPr="00A840A3">
        <w:rPr>
          <w:b/>
          <w:color w:val="FFFFFF" w:themeColor="background1"/>
        </w:rPr>
        <w:t>é</w:t>
      </w:r>
      <w:r w:rsidR="00304581">
        <w:rPr>
          <w:b/>
          <w:color w:val="FFFFFF" w:themeColor="background1"/>
        </w:rPr>
        <w:t>,</w:t>
      </w:r>
      <w:r w:rsidR="00304581" w:rsidRPr="00A0574C">
        <w:rPr>
          <w:b/>
          <w:color w:val="FFFFFF" w:themeColor="background1"/>
        </w:rPr>
        <w:t xml:space="preserve"> </w:t>
      </w:r>
      <w:r w:rsidRPr="00A0574C">
        <w:rPr>
          <w:b/>
          <w:color w:val="FFFFFF" w:themeColor="background1"/>
        </w:rPr>
        <w:t>s</w:t>
      </w:r>
      <w:r w:rsidR="00304581">
        <w:rPr>
          <w:b/>
          <w:color w:val="FFFFFF" w:themeColor="background1"/>
        </w:rPr>
        <w:t>’avère néanmoins être</w:t>
      </w:r>
      <w:r w:rsidRPr="00A0574C">
        <w:rPr>
          <w:b/>
          <w:color w:val="FFFFFF" w:themeColor="background1"/>
        </w:rPr>
        <w:t xml:space="preserve"> un </w:t>
      </w:r>
      <w:r w:rsidR="00CB51BF">
        <w:rPr>
          <w:b/>
          <w:color w:val="FFFFFF" w:themeColor="background1"/>
        </w:rPr>
        <w:t>« </w:t>
      </w:r>
      <w:r w:rsidRPr="00A0574C">
        <w:rPr>
          <w:b/>
          <w:color w:val="FFFFFF" w:themeColor="background1"/>
        </w:rPr>
        <w:t>organisme qualifi</w:t>
      </w:r>
      <w:r w:rsidR="00CB51BF">
        <w:rPr>
          <w:b/>
          <w:color w:val="FFFFFF" w:themeColor="background1"/>
        </w:rPr>
        <w:t>é</w:t>
      </w:r>
      <w:r w:rsidRPr="00A0574C">
        <w:rPr>
          <w:b/>
          <w:color w:val="FFFFFF" w:themeColor="background1"/>
        </w:rPr>
        <w:t xml:space="preserve"> de droit public</w:t>
      </w:r>
      <w:r w:rsidR="00CB51BF">
        <w:rPr>
          <w:b/>
          <w:color w:val="FFFFFF" w:themeColor="background1"/>
        </w:rPr>
        <w:t> » (OQDP)</w:t>
      </w:r>
      <w:r w:rsidR="00304581">
        <w:rPr>
          <w:b/>
          <w:color w:val="FFFFFF" w:themeColor="background1"/>
        </w:rPr>
        <w:t>.</w:t>
      </w:r>
    </w:p>
    <w:p w:rsidR="00304581" w:rsidRDefault="00304581" w:rsidP="00F16CE9">
      <w:pPr>
        <w:shd w:val="clear" w:color="auto" w:fill="0070C0"/>
        <w:spacing w:after="0" w:line="240" w:lineRule="auto"/>
        <w:jc w:val="both"/>
        <w:rPr>
          <w:b/>
          <w:color w:val="FFFFFF" w:themeColor="background1"/>
        </w:rPr>
      </w:pPr>
    </w:p>
    <w:p w:rsidR="009E126E" w:rsidRPr="00A0574C" w:rsidRDefault="00823BD1" w:rsidP="00F16CE9">
      <w:pPr>
        <w:shd w:val="clear" w:color="auto" w:fill="0070C0"/>
        <w:spacing w:after="0" w:line="240" w:lineRule="auto"/>
        <w:jc w:val="both"/>
        <w:rPr>
          <w:b/>
          <w:color w:val="FFFFFF" w:themeColor="background1"/>
        </w:rPr>
      </w:pPr>
      <w:r>
        <w:rPr>
          <w:b/>
          <w:color w:val="FFFFFF" w:themeColor="background1"/>
        </w:rPr>
        <w:t xml:space="preserve">Cette qualification poursuit un </w:t>
      </w:r>
      <w:r w:rsidR="009E126E" w:rsidRPr="00A0574C">
        <w:rPr>
          <w:b/>
          <w:color w:val="FFFFFF" w:themeColor="background1"/>
        </w:rPr>
        <w:t>double objectif :</w:t>
      </w:r>
    </w:p>
    <w:p w:rsidR="009E126E" w:rsidRPr="00A0574C" w:rsidRDefault="009E126E" w:rsidP="00F16CE9">
      <w:pPr>
        <w:shd w:val="clear" w:color="auto" w:fill="0070C0"/>
        <w:spacing w:after="0" w:line="240" w:lineRule="auto"/>
        <w:jc w:val="both"/>
        <w:rPr>
          <w:b/>
          <w:color w:val="FFFFFF" w:themeColor="background1"/>
        </w:rPr>
      </w:pPr>
      <w:r w:rsidRPr="00A0574C">
        <w:rPr>
          <w:b/>
          <w:color w:val="FFFFFF" w:themeColor="background1"/>
        </w:rPr>
        <w:sym w:font="Wingdings" w:char="F046"/>
      </w:r>
      <w:r w:rsidRPr="00A0574C">
        <w:rPr>
          <w:b/>
          <w:color w:val="FFFFFF" w:themeColor="background1"/>
        </w:rPr>
        <w:t xml:space="preserve"> </w:t>
      </w:r>
      <w:r w:rsidR="00823BD1" w:rsidRPr="00A0574C">
        <w:rPr>
          <w:b/>
          <w:color w:val="FFFFFF" w:themeColor="background1"/>
        </w:rPr>
        <w:t>Vérifier</w:t>
      </w:r>
      <w:r w:rsidRPr="00A0574C">
        <w:rPr>
          <w:b/>
          <w:color w:val="FFFFFF" w:themeColor="background1"/>
        </w:rPr>
        <w:t xml:space="preserve"> le respect de la commande publique</w:t>
      </w:r>
      <w:r w:rsidR="009804DE" w:rsidRPr="00A0574C">
        <w:rPr>
          <w:b/>
          <w:color w:val="FFFFFF" w:themeColor="background1"/>
        </w:rPr>
        <w:t> </w:t>
      </w:r>
      <w:r w:rsidR="00823BD1">
        <w:rPr>
          <w:b/>
          <w:color w:val="FFFFFF" w:themeColor="background1"/>
        </w:rPr>
        <w:t xml:space="preserve">d’une part </w:t>
      </w:r>
      <w:r w:rsidR="009804DE" w:rsidRPr="00A0574C">
        <w:rPr>
          <w:b/>
          <w:color w:val="FFFFFF" w:themeColor="background1"/>
        </w:rPr>
        <w:t>;</w:t>
      </w:r>
    </w:p>
    <w:p w:rsidR="009E126E" w:rsidRPr="00A0574C" w:rsidRDefault="009E126E" w:rsidP="00F16CE9">
      <w:pPr>
        <w:shd w:val="clear" w:color="auto" w:fill="0070C0"/>
        <w:spacing w:after="0" w:line="240" w:lineRule="auto"/>
        <w:jc w:val="both"/>
        <w:rPr>
          <w:b/>
          <w:color w:val="FFFFFF" w:themeColor="background1"/>
        </w:rPr>
      </w:pPr>
      <w:r w:rsidRPr="00A0574C">
        <w:rPr>
          <w:b/>
          <w:color w:val="FFFFFF" w:themeColor="background1"/>
        </w:rPr>
        <w:sym w:font="Wingdings" w:char="F046"/>
      </w:r>
      <w:r w:rsidRPr="00A0574C">
        <w:rPr>
          <w:b/>
          <w:color w:val="FFFFFF" w:themeColor="background1"/>
        </w:rPr>
        <w:t xml:space="preserve"> </w:t>
      </w:r>
      <w:r w:rsidR="00823BD1" w:rsidRPr="00A0574C">
        <w:rPr>
          <w:b/>
          <w:color w:val="FFFFFF" w:themeColor="background1"/>
        </w:rPr>
        <w:t>En</w:t>
      </w:r>
      <w:r w:rsidRPr="00A0574C">
        <w:rPr>
          <w:b/>
          <w:color w:val="FFFFFF" w:themeColor="background1"/>
        </w:rPr>
        <w:t xml:space="preserve"> tirer parti pour l’élaboration du plan de financement</w:t>
      </w:r>
      <w:r w:rsidR="00823BD1">
        <w:rPr>
          <w:b/>
          <w:color w:val="FFFFFF" w:themeColor="background1"/>
        </w:rPr>
        <w:t xml:space="preserve"> d’autre part</w:t>
      </w:r>
      <w:r w:rsidR="009804DE" w:rsidRPr="00A0574C">
        <w:rPr>
          <w:b/>
          <w:color w:val="FFFFFF" w:themeColor="background1"/>
        </w:rPr>
        <w:t>.</w:t>
      </w:r>
    </w:p>
    <w:p w:rsidR="009E126E" w:rsidRPr="00A0574C" w:rsidRDefault="009E126E" w:rsidP="00F16CE9">
      <w:pPr>
        <w:shd w:val="clear" w:color="auto" w:fill="0070C0"/>
        <w:spacing w:after="0" w:line="240" w:lineRule="auto"/>
        <w:jc w:val="both"/>
        <w:rPr>
          <w:b/>
          <w:color w:val="FFFFFF" w:themeColor="background1"/>
          <w:sz w:val="16"/>
          <w:szCs w:val="16"/>
        </w:rPr>
      </w:pPr>
    </w:p>
    <w:p w:rsidR="00160F95" w:rsidRDefault="00160F95" w:rsidP="00F16CE9">
      <w:pPr>
        <w:shd w:val="clear" w:color="auto" w:fill="0070C0"/>
        <w:spacing w:after="0" w:line="240" w:lineRule="auto"/>
        <w:jc w:val="both"/>
        <w:rPr>
          <w:b/>
          <w:color w:val="FFFFFF" w:themeColor="background1"/>
        </w:rPr>
      </w:pPr>
      <w:r w:rsidRPr="00A0574C">
        <w:rPr>
          <w:b/>
          <w:color w:val="FFFFFF" w:themeColor="background1"/>
        </w:rPr>
        <w:t xml:space="preserve">Ainsi cette </w:t>
      </w:r>
      <w:r w:rsidR="00CB51BF">
        <w:rPr>
          <w:b/>
          <w:color w:val="FFFFFF" w:themeColor="background1"/>
        </w:rPr>
        <w:t xml:space="preserve">qualification s’accompagne de </w:t>
      </w:r>
      <w:r w:rsidRPr="00A0574C">
        <w:rPr>
          <w:b/>
          <w:color w:val="FFFFFF" w:themeColor="background1"/>
        </w:rPr>
        <w:t>droits et d</w:t>
      </w:r>
      <w:r w:rsidR="00CB51BF">
        <w:rPr>
          <w:b/>
          <w:color w:val="FFFFFF" w:themeColor="background1"/>
        </w:rPr>
        <w:t>’obligations</w:t>
      </w:r>
      <w:r w:rsidRPr="00A0574C">
        <w:rPr>
          <w:b/>
          <w:color w:val="FFFFFF" w:themeColor="background1"/>
        </w:rPr>
        <w:t xml:space="preserve"> pour les OQDP.</w:t>
      </w:r>
    </w:p>
    <w:p w:rsidR="00A0574C" w:rsidRPr="00A0574C" w:rsidRDefault="00A0574C" w:rsidP="00A0574C">
      <w:pPr>
        <w:shd w:val="clear" w:color="auto" w:fill="0070C0"/>
        <w:spacing w:after="0" w:line="240" w:lineRule="auto"/>
        <w:jc w:val="center"/>
        <w:rPr>
          <w:b/>
          <w:color w:val="FFFFFF" w:themeColor="background1"/>
          <w:sz w:val="8"/>
          <w:szCs w:val="8"/>
        </w:rPr>
      </w:pPr>
    </w:p>
    <w:p w:rsidR="00A0574C" w:rsidRDefault="00160F95" w:rsidP="0073243E">
      <w:pPr>
        <w:spacing w:after="0" w:line="240" w:lineRule="auto"/>
        <w:jc w:val="both"/>
      </w:pPr>
      <w:r>
        <w:t xml:space="preserve"> </w:t>
      </w:r>
    </w:p>
    <w:p w:rsidR="006F582F" w:rsidRDefault="006F582F" w:rsidP="0073243E">
      <w:pPr>
        <w:spacing w:after="0" w:line="240" w:lineRule="auto"/>
        <w:jc w:val="both"/>
      </w:pPr>
    </w:p>
    <w:p w:rsidR="009804DE" w:rsidRDefault="009804DE" w:rsidP="0073243E">
      <w:pPr>
        <w:spacing w:after="0" w:line="240" w:lineRule="auto"/>
        <w:jc w:val="both"/>
      </w:pPr>
    </w:p>
    <w:p w:rsidR="009804DE" w:rsidRPr="00A0574C" w:rsidRDefault="009804DE" w:rsidP="00A0574C">
      <w:pPr>
        <w:shd w:val="clear" w:color="auto" w:fill="0070C0"/>
        <w:spacing w:after="0" w:line="240" w:lineRule="auto"/>
        <w:jc w:val="both"/>
        <w:rPr>
          <w:b/>
          <w:color w:val="FFFFFF" w:themeColor="background1"/>
          <w:sz w:val="28"/>
          <w:szCs w:val="28"/>
        </w:rPr>
      </w:pPr>
      <w:r w:rsidRPr="00A0574C">
        <w:rPr>
          <w:b/>
          <w:color w:val="FFFFFF" w:themeColor="background1"/>
          <w:sz w:val="28"/>
          <w:szCs w:val="28"/>
        </w:rPr>
        <w:t>LA QUALIFICATION DES ORGANISMES DE DROIT PUBLIC</w:t>
      </w:r>
    </w:p>
    <w:p w:rsidR="009E126E" w:rsidRDefault="009E126E" w:rsidP="0073243E">
      <w:pPr>
        <w:spacing w:after="0" w:line="240" w:lineRule="auto"/>
        <w:jc w:val="both"/>
      </w:pPr>
    </w:p>
    <w:p w:rsidR="00E0471A" w:rsidRPr="001152FE" w:rsidRDefault="00AA6CBC" w:rsidP="001152FE">
      <w:pPr>
        <w:pBdr>
          <w:top w:val="single" w:sz="4" w:space="1" w:color="auto"/>
          <w:left w:val="single" w:sz="4" w:space="0" w:color="auto"/>
          <w:bottom w:val="single" w:sz="4" w:space="1" w:color="auto"/>
          <w:right w:val="single" w:sz="4" w:space="4" w:color="auto"/>
        </w:pBdr>
        <w:spacing w:after="0" w:line="240" w:lineRule="auto"/>
        <w:jc w:val="both"/>
        <w:rPr>
          <w:b/>
          <w:color w:val="0070C0"/>
          <w:sz w:val="28"/>
          <w:szCs w:val="28"/>
        </w:rPr>
      </w:pPr>
      <w:r w:rsidRPr="001152FE">
        <w:rPr>
          <w:color w:val="0070C0"/>
          <w:sz w:val="28"/>
          <w:szCs w:val="28"/>
        </w:rPr>
        <w:sym w:font="Wingdings" w:char="F0D8"/>
      </w:r>
      <w:r w:rsidRPr="001152FE">
        <w:rPr>
          <w:color w:val="0070C0"/>
          <w:sz w:val="28"/>
          <w:szCs w:val="28"/>
        </w:rPr>
        <w:t xml:space="preserve"> </w:t>
      </w:r>
      <w:r w:rsidR="0073243E" w:rsidRPr="001152FE">
        <w:rPr>
          <w:b/>
          <w:color w:val="0070C0"/>
          <w:sz w:val="28"/>
          <w:szCs w:val="28"/>
        </w:rPr>
        <w:t>Principe</w:t>
      </w:r>
      <w:r w:rsidR="00E0471A" w:rsidRPr="001152FE">
        <w:rPr>
          <w:b/>
          <w:color w:val="0070C0"/>
          <w:sz w:val="28"/>
          <w:szCs w:val="28"/>
        </w:rPr>
        <w:t xml:space="preserve"> général</w:t>
      </w:r>
    </w:p>
    <w:p w:rsidR="0054425B" w:rsidRDefault="0054425B" w:rsidP="0073243E">
      <w:pPr>
        <w:spacing w:after="0" w:line="240" w:lineRule="auto"/>
        <w:jc w:val="both"/>
      </w:pPr>
    </w:p>
    <w:p w:rsidR="00F00C54" w:rsidRPr="001152FE" w:rsidRDefault="00F00C54" w:rsidP="0073243E">
      <w:pPr>
        <w:spacing w:after="0" w:line="240" w:lineRule="auto"/>
        <w:jc w:val="both"/>
        <w:rPr>
          <w:b/>
          <w:i/>
          <w:color w:val="0070C0"/>
          <w:sz w:val="26"/>
          <w:szCs w:val="26"/>
        </w:rPr>
      </w:pPr>
      <w:r w:rsidRPr="001152FE">
        <w:rPr>
          <w:b/>
          <w:i/>
          <w:color w:val="0070C0"/>
          <w:sz w:val="26"/>
          <w:szCs w:val="26"/>
        </w:rPr>
        <w:t xml:space="preserve">Une qualification qui implique des </w:t>
      </w:r>
      <w:r w:rsidR="00816BF6" w:rsidRPr="001152FE">
        <w:rPr>
          <w:b/>
          <w:i/>
          <w:color w:val="0070C0"/>
          <w:sz w:val="26"/>
          <w:szCs w:val="26"/>
        </w:rPr>
        <w:t>obligations</w:t>
      </w:r>
      <w:r w:rsidR="00EC4609" w:rsidRPr="001152FE">
        <w:rPr>
          <w:b/>
          <w:i/>
          <w:color w:val="0070C0"/>
          <w:sz w:val="26"/>
          <w:szCs w:val="26"/>
        </w:rPr>
        <w:t> :</w:t>
      </w:r>
    </w:p>
    <w:p w:rsidR="00F00C54" w:rsidRDefault="00F00C54" w:rsidP="0073243E">
      <w:pPr>
        <w:spacing w:after="0" w:line="240" w:lineRule="auto"/>
        <w:jc w:val="both"/>
      </w:pPr>
    </w:p>
    <w:p w:rsidR="008D7D09" w:rsidRDefault="008D7D09" w:rsidP="008D7D09">
      <w:pPr>
        <w:spacing w:after="0" w:line="240" w:lineRule="auto"/>
        <w:jc w:val="both"/>
      </w:pPr>
      <w:r>
        <w:t>Il s’agit d’identifier le plus en amont possible les structures potentiellement impactées, c’est-à-dire soumises au respect des règles de la commande publique</w:t>
      </w:r>
      <w:r w:rsidR="00AA6CBC">
        <w:rPr>
          <w:rStyle w:val="Appelnotedebasdep"/>
        </w:rPr>
        <w:footnoteReference w:id="2"/>
      </w:r>
      <w:r>
        <w:t>, afin qu’elles mettent en œuvre leurs projets selon des modalités légales compatibles avec le FEADER</w:t>
      </w:r>
      <w:r w:rsidR="00F00C54">
        <w:t xml:space="preserve"> </w:t>
      </w:r>
      <w:r w:rsidR="00F00C54">
        <w:sym w:font="Wingdings" w:char="F0F0"/>
      </w:r>
      <w:r>
        <w:t xml:space="preserve"> </w:t>
      </w:r>
      <w:r w:rsidR="00F00C54" w:rsidRPr="001152FE">
        <w:rPr>
          <w:b/>
          <w:color w:val="0070C0"/>
        </w:rPr>
        <w:t>d</w:t>
      </w:r>
      <w:r w:rsidRPr="001152FE">
        <w:rPr>
          <w:b/>
          <w:color w:val="0070C0"/>
        </w:rPr>
        <w:t>ès lors qu’une structure est qualifiée d’organisme de droit public, elle est soumise aux règles de la commande publique</w:t>
      </w:r>
      <w:r>
        <w:t>, conformément à l’ordonnance n°2015-899 du 23 juillet 2015.</w:t>
      </w:r>
    </w:p>
    <w:p w:rsidR="008D7D09" w:rsidRDefault="008D7D09" w:rsidP="0073243E">
      <w:pPr>
        <w:spacing w:after="0" w:line="240" w:lineRule="auto"/>
        <w:jc w:val="both"/>
      </w:pPr>
    </w:p>
    <w:p w:rsidR="00F00C54" w:rsidRDefault="00F00C54" w:rsidP="0073243E">
      <w:pPr>
        <w:spacing w:after="0" w:line="240" w:lineRule="auto"/>
        <w:jc w:val="both"/>
      </w:pPr>
      <w:r>
        <w:lastRenderedPageBreak/>
        <w:t>Par conséquent, l</w:t>
      </w:r>
      <w:r w:rsidR="00E0471A">
        <w:t xml:space="preserve">a </w:t>
      </w:r>
      <w:r w:rsidR="0073243E">
        <w:t>qualification</w:t>
      </w:r>
      <w:r w:rsidR="00E0471A">
        <w:t xml:space="preserve"> en </w:t>
      </w:r>
      <w:r>
        <w:t>o</w:t>
      </w:r>
      <w:r w:rsidR="0073243E">
        <w:t>rganisme</w:t>
      </w:r>
      <w:r w:rsidR="00E0471A">
        <w:t xml:space="preserve"> de </w:t>
      </w:r>
      <w:r>
        <w:t>d</w:t>
      </w:r>
      <w:r w:rsidR="00E0471A">
        <w:t xml:space="preserve">roit </w:t>
      </w:r>
      <w:r>
        <w:t>p</w:t>
      </w:r>
      <w:r w:rsidR="00E0471A">
        <w:t xml:space="preserve">ublic </w:t>
      </w:r>
      <w:r w:rsidR="0073243E">
        <w:t>intervient</w:t>
      </w:r>
      <w:r w:rsidR="00E0471A">
        <w:t xml:space="preserve"> en a</w:t>
      </w:r>
      <w:r w:rsidR="0073243E">
        <w:t>m</w:t>
      </w:r>
      <w:r w:rsidR="00E0471A">
        <w:t>ont de l</w:t>
      </w:r>
      <w:r w:rsidR="0073243E">
        <w:t>a</w:t>
      </w:r>
      <w:r w:rsidR="00E0471A">
        <w:t xml:space="preserve"> mise en œuvre de </w:t>
      </w:r>
      <w:r w:rsidR="0073243E">
        <w:t>procédures</w:t>
      </w:r>
      <w:r w:rsidR="00E0471A">
        <w:t xml:space="preserve"> liées à la commande publique. </w:t>
      </w:r>
    </w:p>
    <w:p w:rsidR="00E0471A" w:rsidRDefault="00344262" w:rsidP="0073243E">
      <w:pPr>
        <w:spacing w:after="0" w:line="240" w:lineRule="auto"/>
        <w:jc w:val="both"/>
      </w:pPr>
      <w:r>
        <w:t>Ainsi un organisme est réputé comme étant de droit public indépendamment de sa nature publique ou privée. La qualification s’accompagne d’obligations dévolues aux entités adjudicatrices dans le cadre de la commande publique</w:t>
      </w:r>
      <w:r w:rsidR="00F00C54">
        <w:t>,</w:t>
      </w:r>
      <w:r>
        <w:t xml:space="preserve"> et précède donc l’élaboration et l’analyse du plan de financement.</w:t>
      </w:r>
    </w:p>
    <w:p w:rsidR="00D71139" w:rsidRDefault="00D71139" w:rsidP="0073243E">
      <w:pPr>
        <w:spacing w:after="0" w:line="240" w:lineRule="auto"/>
        <w:jc w:val="both"/>
      </w:pPr>
    </w:p>
    <w:p w:rsidR="001152FE" w:rsidRDefault="001152FE" w:rsidP="0073243E">
      <w:pPr>
        <w:spacing w:after="0" w:line="240" w:lineRule="auto"/>
        <w:jc w:val="both"/>
      </w:pPr>
    </w:p>
    <w:p w:rsidR="00F00C54" w:rsidRPr="001152FE" w:rsidRDefault="001152FE" w:rsidP="0073243E">
      <w:pPr>
        <w:spacing w:after="0" w:line="240" w:lineRule="auto"/>
        <w:jc w:val="both"/>
        <w:rPr>
          <w:b/>
          <w:i/>
          <w:color w:val="0070C0"/>
          <w:sz w:val="24"/>
          <w:szCs w:val="24"/>
        </w:rPr>
      </w:pPr>
      <w:r w:rsidRPr="001152FE">
        <w:rPr>
          <w:b/>
          <w:i/>
          <w:color w:val="0070C0"/>
          <w:sz w:val="24"/>
          <w:szCs w:val="24"/>
        </w:rPr>
        <w:t>Mais u</w:t>
      </w:r>
      <w:r w:rsidR="00EC4609" w:rsidRPr="001152FE">
        <w:rPr>
          <w:b/>
          <w:i/>
          <w:color w:val="0070C0"/>
          <w:sz w:val="24"/>
          <w:szCs w:val="24"/>
        </w:rPr>
        <w:t xml:space="preserve">ne qualification </w:t>
      </w:r>
      <w:r w:rsidR="00F00C54" w:rsidRPr="001152FE">
        <w:rPr>
          <w:b/>
          <w:i/>
          <w:color w:val="0070C0"/>
          <w:sz w:val="24"/>
          <w:szCs w:val="24"/>
        </w:rPr>
        <w:t>qui ouvre des droits</w:t>
      </w:r>
      <w:r w:rsidR="00EC4609" w:rsidRPr="001152FE">
        <w:rPr>
          <w:b/>
          <w:i/>
          <w:color w:val="0070C0"/>
          <w:sz w:val="24"/>
          <w:szCs w:val="24"/>
        </w:rPr>
        <w:t> :</w:t>
      </w:r>
    </w:p>
    <w:p w:rsidR="00F00C54" w:rsidRDefault="00F00C54" w:rsidP="0073243E">
      <w:pPr>
        <w:spacing w:after="0" w:line="240" w:lineRule="auto"/>
        <w:jc w:val="both"/>
      </w:pPr>
    </w:p>
    <w:p w:rsidR="00D71139" w:rsidRDefault="00D71139" w:rsidP="0073243E">
      <w:pPr>
        <w:spacing w:after="0" w:line="240" w:lineRule="auto"/>
        <w:jc w:val="both"/>
      </w:pPr>
      <w:r>
        <w:t xml:space="preserve">Avec les obligations inhérentes au statut ainsi défini, le fonctionnement par dépense publique du FEADER autorise la qualification suivante des crédits apportés par l’organisme qualifié de droit public (OQDP) : </w:t>
      </w:r>
      <w:r w:rsidRPr="001152FE">
        <w:rPr>
          <w:b/>
          <w:color w:val="0070C0"/>
        </w:rPr>
        <w:t>la part autofinancée est considérée comme une composante de la dépense publique</w:t>
      </w:r>
      <w:r>
        <w:t xml:space="preserve">. </w:t>
      </w:r>
    </w:p>
    <w:p w:rsidR="00347156" w:rsidRDefault="00347156" w:rsidP="0073243E">
      <w:pPr>
        <w:spacing w:after="0" w:line="240" w:lineRule="auto"/>
        <w:jc w:val="both"/>
      </w:pPr>
    </w:p>
    <w:p w:rsidR="0054425B" w:rsidRDefault="0054425B" w:rsidP="0073243E">
      <w:pPr>
        <w:spacing w:after="0" w:line="240" w:lineRule="auto"/>
        <w:jc w:val="both"/>
      </w:pPr>
      <w:r>
        <w:t>La dépense publique englobe le FEADER et la dépense publique nationale ; il s’agit de toute participation publique au financement d’opérations provenant :</w:t>
      </w:r>
    </w:p>
    <w:p w:rsidR="0054425B" w:rsidRDefault="0054425B" w:rsidP="0054425B">
      <w:pPr>
        <w:pStyle w:val="Paragraphedeliste"/>
        <w:numPr>
          <w:ilvl w:val="0"/>
          <w:numId w:val="1"/>
        </w:numPr>
        <w:spacing w:after="0" w:line="240" w:lineRule="auto"/>
        <w:jc w:val="both"/>
      </w:pPr>
      <w:r>
        <w:t>du budget d’autorités nationales, régionales ou locales ;</w:t>
      </w:r>
    </w:p>
    <w:p w:rsidR="0054425B" w:rsidRDefault="0054425B" w:rsidP="0054425B">
      <w:pPr>
        <w:pStyle w:val="Paragraphedeliste"/>
        <w:numPr>
          <w:ilvl w:val="0"/>
          <w:numId w:val="1"/>
        </w:numPr>
        <w:spacing w:after="0" w:line="240" w:lineRule="auto"/>
        <w:jc w:val="both"/>
      </w:pPr>
      <w:r>
        <w:t>du budget d’organismes de droit public ;</w:t>
      </w:r>
    </w:p>
    <w:p w:rsidR="0054425B" w:rsidRDefault="0054425B" w:rsidP="0054425B">
      <w:pPr>
        <w:pStyle w:val="Paragraphedeliste"/>
        <w:numPr>
          <w:ilvl w:val="0"/>
          <w:numId w:val="1"/>
        </w:numPr>
        <w:spacing w:after="0" w:line="240" w:lineRule="auto"/>
        <w:jc w:val="both"/>
      </w:pPr>
      <w:r>
        <w:t>ou du budget d’associations d’autorités publiques.</w:t>
      </w:r>
    </w:p>
    <w:p w:rsidR="004A0B91" w:rsidRDefault="004A0B91" w:rsidP="004A0B91">
      <w:pPr>
        <w:pStyle w:val="Paragraphedeliste"/>
        <w:spacing w:after="0" w:line="240" w:lineRule="auto"/>
        <w:jc w:val="both"/>
      </w:pPr>
    </w:p>
    <w:p w:rsidR="0054425B" w:rsidRDefault="0054425B" w:rsidP="0073243E">
      <w:pPr>
        <w:spacing w:after="0" w:line="240" w:lineRule="auto"/>
        <w:jc w:val="both"/>
      </w:pPr>
      <w:r>
        <w:sym w:font="Wingdings" w:char="F0C4"/>
      </w:r>
      <w:r>
        <w:t xml:space="preserve"> </w:t>
      </w:r>
      <w:r w:rsidRPr="001152FE">
        <w:rPr>
          <w:b/>
          <w:color w:val="0070C0"/>
        </w:rPr>
        <w:t>L’apport financier de certaines structures</w:t>
      </w:r>
      <w:r w:rsidRPr="001152FE">
        <w:rPr>
          <w:color w:val="0070C0"/>
        </w:rPr>
        <w:t xml:space="preserve"> </w:t>
      </w:r>
      <w:r>
        <w:t xml:space="preserve">(qu’elles soient publiques ou privées au sens du droit français) </w:t>
      </w:r>
      <w:r w:rsidRPr="001152FE">
        <w:rPr>
          <w:b/>
          <w:color w:val="0070C0"/>
        </w:rPr>
        <w:t xml:space="preserve">est alors considéré comme une </w:t>
      </w:r>
      <w:r w:rsidRPr="00DF6490">
        <w:rPr>
          <w:b/>
          <w:color w:val="0070C0"/>
          <w:u w:val="single"/>
        </w:rPr>
        <w:t>dépense publique au sens communautaire</w:t>
      </w:r>
      <w:r>
        <w:t>.</w:t>
      </w:r>
    </w:p>
    <w:p w:rsidR="007946A1" w:rsidRDefault="007946A1" w:rsidP="0073243E">
      <w:pPr>
        <w:spacing w:after="0" w:line="240" w:lineRule="auto"/>
        <w:jc w:val="both"/>
      </w:pPr>
    </w:p>
    <w:p w:rsidR="00F7756A" w:rsidRDefault="00F7756A" w:rsidP="0073243E">
      <w:pPr>
        <w:spacing w:after="0" w:line="240" w:lineRule="auto"/>
        <w:jc w:val="both"/>
      </w:pPr>
    </w:p>
    <w:p w:rsidR="007946A1" w:rsidRPr="009B7A52" w:rsidRDefault="00F7756A" w:rsidP="009B7A52">
      <w:pPr>
        <w:pBdr>
          <w:top w:val="single" w:sz="4" w:space="1" w:color="auto"/>
          <w:left w:val="single" w:sz="4" w:space="4" w:color="auto"/>
          <w:bottom w:val="single" w:sz="4" w:space="1" w:color="auto"/>
          <w:right w:val="single" w:sz="4" w:space="0" w:color="auto"/>
        </w:pBdr>
        <w:spacing w:after="0" w:line="240" w:lineRule="auto"/>
        <w:jc w:val="both"/>
        <w:rPr>
          <w:b/>
          <w:color w:val="0070C0"/>
          <w:sz w:val="28"/>
          <w:szCs w:val="28"/>
        </w:rPr>
      </w:pPr>
      <w:r w:rsidRPr="009B7A52">
        <w:rPr>
          <w:color w:val="0070C0"/>
          <w:sz w:val="28"/>
          <w:szCs w:val="28"/>
        </w:rPr>
        <w:sym w:font="Wingdings" w:char="F0D8"/>
      </w:r>
      <w:r w:rsidRPr="009B7A52">
        <w:rPr>
          <w:b/>
          <w:color w:val="0070C0"/>
          <w:sz w:val="28"/>
          <w:szCs w:val="28"/>
        </w:rPr>
        <w:t xml:space="preserve"> </w:t>
      </w:r>
      <w:r w:rsidR="007946A1" w:rsidRPr="009B7A52">
        <w:rPr>
          <w:b/>
          <w:color w:val="0070C0"/>
          <w:sz w:val="28"/>
          <w:szCs w:val="28"/>
        </w:rPr>
        <w:t>Les critères d’appréciation du caractère de droit public d’un organisme</w:t>
      </w:r>
    </w:p>
    <w:p w:rsidR="007946A1" w:rsidRDefault="007946A1" w:rsidP="0073243E">
      <w:pPr>
        <w:spacing w:after="0" w:line="240" w:lineRule="auto"/>
        <w:jc w:val="both"/>
      </w:pPr>
    </w:p>
    <w:p w:rsidR="007946A1" w:rsidRPr="00F7756A" w:rsidRDefault="00FB29CB" w:rsidP="0073243E">
      <w:pPr>
        <w:spacing w:after="0" w:line="240" w:lineRule="auto"/>
        <w:jc w:val="both"/>
        <w:rPr>
          <w:i/>
        </w:rPr>
      </w:pPr>
      <w:r w:rsidRPr="00F7756A">
        <w:rPr>
          <w:i/>
        </w:rPr>
        <w:t xml:space="preserve">Le texte de référence est la directive 2014/24/UE du 26 février 2014 qui établit les conditions </w:t>
      </w:r>
      <w:r w:rsidRPr="00F7756A">
        <w:rPr>
          <w:b/>
          <w:i/>
        </w:rPr>
        <w:t>cumulatives</w:t>
      </w:r>
      <w:r w:rsidRPr="00F7756A">
        <w:rPr>
          <w:i/>
        </w:rPr>
        <w:t xml:space="preserve"> de qualification.</w:t>
      </w:r>
    </w:p>
    <w:p w:rsidR="00FB29CB" w:rsidRDefault="00FB29CB" w:rsidP="0073243E">
      <w:pPr>
        <w:spacing w:after="0" w:line="240" w:lineRule="auto"/>
        <w:jc w:val="both"/>
      </w:pPr>
    </w:p>
    <w:p w:rsidR="00F519E8" w:rsidRDefault="00F519E8" w:rsidP="0073243E">
      <w:pPr>
        <w:spacing w:after="0" w:line="240" w:lineRule="auto"/>
        <w:jc w:val="both"/>
      </w:pPr>
      <w:r>
        <w:t>Selon ce texte, par « </w:t>
      </w:r>
      <w:r w:rsidRPr="009B7A52">
        <w:rPr>
          <w:b/>
          <w:color w:val="0070C0"/>
        </w:rPr>
        <w:t xml:space="preserve">organisme </w:t>
      </w:r>
      <w:r w:rsidR="000F54A8" w:rsidRPr="009B7A52">
        <w:rPr>
          <w:b/>
          <w:color w:val="0070C0"/>
        </w:rPr>
        <w:t>d</w:t>
      </w:r>
      <w:r w:rsidRPr="009B7A52">
        <w:rPr>
          <w:b/>
          <w:color w:val="0070C0"/>
        </w:rPr>
        <w:t>e droit public</w:t>
      </w:r>
      <w:r w:rsidRPr="009B7A52">
        <w:rPr>
          <w:color w:val="0070C0"/>
        </w:rPr>
        <w:t> </w:t>
      </w:r>
      <w:r>
        <w:t>», on entend tout organisme :</w:t>
      </w:r>
    </w:p>
    <w:p w:rsidR="00F7756A" w:rsidRDefault="00F7756A" w:rsidP="0073243E">
      <w:pPr>
        <w:spacing w:after="0" w:line="240" w:lineRule="auto"/>
        <w:jc w:val="both"/>
      </w:pPr>
    </w:p>
    <w:p w:rsidR="00F519E8" w:rsidRDefault="0097634B" w:rsidP="0097634B">
      <w:pPr>
        <w:spacing w:after="0" w:line="240" w:lineRule="auto"/>
        <w:jc w:val="both"/>
        <w:rPr>
          <w:b/>
        </w:rPr>
      </w:pPr>
      <w:r>
        <w:t xml:space="preserve">① </w:t>
      </w:r>
      <w:r w:rsidR="00F519E8">
        <w:t xml:space="preserve">créé pour satisfaire spécifiquement des besoins </w:t>
      </w:r>
      <w:r w:rsidR="00F519E8" w:rsidRPr="00742FBD">
        <w:rPr>
          <w:b/>
        </w:rPr>
        <w:t>d’intérêt général</w:t>
      </w:r>
      <w:r w:rsidR="00F519E8">
        <w:t xml:space="preserve"> ayant un </w:t>
      </w:r>
      <w:r w:rsidR="00F519E8" w:rsidRPr="00A537BE">
        <w:rPr>
          <w:b/>
        </w:rPr>
        <w:t xml:space="preserve">caractère </w:t>
      </w:r>
      <w:r w:rsidR="006F5309" w:rsidRPr="00A537BE">
        <w:rPr>
          <w:b/>
        </w:rPr>
        <w:t>autre qu’industriel ou commercial</w:t>
      </w:r>
      <w:r w:rsidR="006B47E9">
        <w:rPr>
          <w:b/>
        </w:rPr>
        <w:t>…</w:t>
      </w:r>
    </w:p>
    <w:p w:rsidR="006B47E9" w:rsidRPr="00A537BE" w:rsidRDefault="006B47E9" w:rsidP="0097634B">
      <w:pPr>
        <w:spacing w:after="0" w:line="240" w:lineRule="auto"/>
        <w:jc w:val="both"/>
        <w:rPr>
          <w:b/>
        </w:rPr>
      </w:pPr>
    </w:p>
    <w:p w:rsidR="006F5309" w:rsidRDefault="0097634B" w:rsidP="0097634B">
      <w:pPr>
        <w:spacing w:after="0" w:line="240" w:lineRule="auto"/>
        <w:jc w:val="both"/>
      </w:pPr>
      <w:r>
        <w:t xml:space="preserve">② </w:t>
      </w:r>
      <w:r w:rsidR="006F5309" w:rsidRPr="004D6BBC">
        <w:rPr>
          <w:b/>
          <w:u w:val="single"/>
        </w:rPr>
        <w:t>ET</w:t>
      </w:r>
      <w:r w:rsidR="006F5309">
        <w:t xml:space="preserve"> doté de la personnalité juridique</w:t>
      </w:r>
      <w:r w:rsidR="006B47E9">
        <w:t>…</w:t>
      </w:r>
    </w:p>
    <w:p w:rsidR="006B47E9" w:rsidRDefault="006B47E9" w:rsidP="0097634B">
      <w:pPr>
        <w:spacing w:after="0" w:line="240" w:lineRule="auto"/>
        <w:jc w:val="both"/>
      </w:pPr>
    </w:p>
    <w:p w:rsidR="006F5309" w:rsidRDefault="0097634B" w:rsidP="0097634B">
      <w:pPr>
        <w:spacing w:after="0" w:line="240" w:lineRule="auto"/>
        <w:jc w:val="both"/>
      </w:pPr>
      <w:r>
        <w:t xml:space="preserve">③ </w:t>
      </w:r>
      <w:r w:rsidR="006F5309" w:rsidRPr="004D6BBC">
        <w:rPr>
          <w:b/>
          <w:u w:val="single"/>
        </w:rPr>
        <w:t>ET</w:t>
      </w:r>
      <w:r w:rsidR="006F5309">
        <w:t xml:space="preserve"> dont :</w:t>
      </w:r>
    </w:p>
    <w:p w:rsidR="006F5309" w:rsidRDefault="0097634B" w:rsidP="0097634B">
      <w:pPr>
        <w:spacing w:after="0" w:line="240" w:lineRule="auto"/>
        <w:ind w:left="708"/>
        <w:jc w:val="both"/>
      </w:pPr>
      <w:r>
        <w:sym w:font="Wingdings" w:char="F0E8"/>
      </w:r>
      <w:r>
        <w:t xml:space="preserve"> </w:t>
      </w:r>
      <w:r w:rsidR="006F5309" w:rsidRPr="004D6BBC">
        <w:rPr>
          <w:u w:val="single"/>
        </w:rPr>
        <w:t>Soit</w:t>
      </w:r>
      <w:r w:rsidR="006F5309">
        <w:t xml:space="preserve"> l’activité est financée majoritairement par l’Etat, les collectivités territoriales</w:t>
      </w:r>
      <w:r>
        <w:t xml:space="preserve"> ou d’autres organismes de droit public</w:t>
      </w:r>
      <w:r w:rsidR="00EC4609">
        <w:t> ;</w:t>
      </w:r>
    </w:p>
    <w:p w:rsidR="0097634B" w:rsidRDefault="0097634B" w:rsidP="0097634B">
      <w:pPr>
        <w:spacing w:after="0" w:line="240" w:lineRule="auto"/>
        <w:ind w:firstLine="708"/>
        <w:jc w:val="both"/>
      </w:pPr>
      <w:r>
        <w:sym w:font="Wingdings" w:char="F0E8"/>
      </w:r>
      <w:r>
        <w:t xml:space="preserve"> </w:t>
      </w:r>
      <w:r w:rsidRPr="004D6BBC">
        <w:rPr>
          <w:u w:val="single"/>
        </w:rPr>
        <w:t>Soit</w:t>
      </w:r>
      <w:r>
        <w:t xml:space="preserve"> la gestion est soumise à un contrôle par ces derniers</w:t>
      </w:r>
      <w:r w:rsidR="00EC4609">
        <w:t> ;</w:t>
      </w:r>
    </w:p>
    <w:p w:rsidR="0097634B" w:rsidRDefault="0097634B" w:rsidP="0097634B">
      <w:pPr>
        <w:spacing w:after="0" w:line="240" w:lineRule="auto"/>
        <w:ind w:left="708"/>
        <w:jc w:val="both"/>
      </w:pPr>
      <w:r>
        <w:sym w:font="Wingdings" w:char="F0E8"/>
      </w:r>
      <w:r>
        <w:t xml:space="preserve"> </w:t>
      </w:r>
      <w:r w:rsidRPr="004D6BBC">
        <w:rPr>
          <w:u w:val="single"/>
        </w:rPr>
        <w:t>Soit</w:t>
      </w:r>
      <w:r>
        <w:t xml:space="preserve"> l’organe d’administration, de direction ou de surveillance est composé de membres dont plus de la moitié sont désignés par l’Etat, les collectivités ou d’autres organismes de droit public</w:t>
      </w:r>
      <w:r w:rsidR="00EC4609">
        <w:t>.</w:t>
      </w:r>
    </w:p>
    <w:p w:rsidR="0097634B" w:rsidRDefault="0097634B" w:rsidP="0097634B">
      <w:pPr>
        <w:spacing w:after="0" w:line="240" w:lineRule="auto"/>
        <w:ind w:firstLine="708"/>
        <w:jc w:val="both"/>
      </w:pPr>
    </w:p>
    <w:p w:rsidR="00EC4609" w:rsidRPr="00EC4609" w:rsidRDefault="00EC4609" w:rsidP="00EC4609">
      <w:pPr>
        <w:spacing w:after="0" w:line="240" w:lineRule="auto"/>
        <w:jc w:val="center"/>
        <w:rPr>
          <w:sz w:val="40"/>
          <w:szCs w:val="40"/>
        </w:rPr>
      </w:pPr>
      <w:r w:rsidRPr="00EC4609">
        <w:rPr>
          <w:sz w:val="40"/>
          <w:szCs w:val="40"/>
        </w:rPr>
        <w:sym w:font="Wingdings" w:char="F0EA"/>
      </w:r>
    </w:p>
    <w:p w:rsidR="00EC4609" w:rsidRDefault="00EC4609" w:rsidP="0097634B">
      <w:pPr>
        <w:spacing w:after="0" w:line="240" w:lineRule="auto"/>
        <w:ind w:firstLine="708"/>
        <w:jc w:val="both"/>
      </w:pPr>
    </w:p>
    <w:p w:rsidR="00EC4609" w:rsidRPr="00EC4609" w:rsidRDefault="00EC4609" w:rsidP="00EC4609">
      <w:pPr>
        <w:spacing w:after="0" w:line="240" w:lineRule="auto"/>
        <w:jc w:val="both"/>
        <w:rPr>
          <w:b/>
          <w:u w:val="single"/>
        </w:rPr>
      </w:pPr>
      <w:r>
        <w:t xml:space="preserve">① </w:t>
      </w:r>
      <w:r w:rsidRPr="00EC4609">
        <w:rPr>
          <w:b/>
          <w:u w:val="single"/>
        </w:rPr>
        <w:t>Organisme créé pour satisfaire spécifiquement des besoins d’intérêt général ayant un caractère autre qu’industriel ou commercial</w:t>
      </w:r>
    </w:p>
    <w:p w:rsidR="00EC4609" w:rsidRDefault="00EC4609" w:rsidP="0073243E">
      <w:pPr>
        <w:spacing w:after="0" w:line="240" w:lineRule="auto"/>
        <w:jc w:val="both"/>
        <w:rPr>
          <w:sz w:val="16"/>
          <w:szCs w:val="16"/>
        </w:rPr>
      </w:pPr>
    </w:p>
    <w:p w:rsidR="005D74C9" w:rsidRPr="005D74C9" w:rsidRDefault="005D74C9" w:rsidP="0073243E">
      <w:pPr>
        <w:spacing w:after="0" w:line="240" w:lineRule="auto"/>
        <w:jc w:val="both"/>
      </w:pPr>
      <w:r>
        <w:t>Ce critère est apprécié au cas par cas par la jurisprudence en l’absence de définition de la part du législateur.</w:t>
      </w:r>
    </w:p>
    <w:p w:rsidR="0054425B" w:rsidRPr="00742FBD" w:rsidRDefault="00742FBD" w:rsidP="001B206B">
      <w:pPr>
        <w:pStyle w:val="Paragraphedeliste"/>
        <w:numPr>
          <w:ilvl w:val="0"/>
          <w:numId w:val="1"/>
        </w:numPr>
        <w:spacing w:after="0" w:line="240" w:lineRule="auto"/>
        <w:jc w:val="both"/>
      </w:pPr>
      <w:r>
        <w:lastRenderedPageBreak/>
        <w:t xml:space="preserve">La notion </w:t>
      </w:r>
      <w:r w:rsidRPr="001152FE">
        <w:rPr>
          <w:b/>
          <w:color w:val="0070C0"/>
        </w:rPr>
        <w:t xml:space="preserve">d’intérêt général </w:t>
      </w:r>
      <w:r>
        <w:t>s’apprécie au regard de l’activité effectivement exercée par l’organisme, et ce quel que soit son statut (public ou privé) et quel que soit l’historique de l’activité.</w:t>
      </w:r>
    </w:p>
    <w:p w:rsidR="0054425B" w:rsidRPr="00936706" w:rsidRDefault="00742FBD" w:rsidP="001B206B">
      <w:pPr>
        <w:spacing w:after="0" w:line="240" w:lineRule="auto"/>
        <w:ind w:left="708"/>
        <w:jc w:val="both"/>
        <w:rPr>
          <w:i/>
        </w:rPr>
      </w:pPr>
      <w:r w:rsidRPr="00936706">
        <w:rPr>
          <w:i/>
        </w:rPr>
        <w:t xml:space="preserve">Cette notion </w:t>
      </w:r>
      <w:r w:rsidR="00936706" w:rsidRPr="00936706">
        <w:rPr>
          <w:i/>
        </w:rPr>
        <w:t xml:space="preserve">est fonction </w:t>
      </w:r>
      <w:r w:rsidRPr="00936706">
        <w:rPr>
          <w:i/>
        </w:rPr>
        <w:t xml:space="preserve">d’un certain nombre d’indices dont le suivant : une activité qui profite à la collectivité et qu’une personne publique pourrait à ce titre prendre en charge peut être considérée comme satisfaisant un besoin d’intérêt général. </w:t>
      </w:r>
    </w:p>
    <w:p w:rsidR="00A537BE" w:rsidRPr="00CD1432" w:rsidRDefault="00A537BE" w:rsidP="0073243E">
      <w:pPr>
        <w:spacing w:after="0" w:line="240" w:lineRule="auto"/>
        <w:jc w:val="both"/>
        <w:rPr>
          <w:sz w:val="16"/>
          <w:szCs w:val="16"/>
        </w:rPr>
      </w:pPr>
    </w:p>
    <w:p w:rsidR="00A537BE" w:rsidRPr="001B206B" w:rsidRDefault="00A537BE" w:rsidP="001B206B">
      <w:pPr>
        <w:pStyle w:val="Paragraphedeliste"/>
        <w:numPr>
          <w:ilvl w:val="0"/>
          <w:numId w:val="1"/>
        </w:numPr>
        <w:spacing w:after="0" w:line="240" w:lineRule="auto"/>
        <w:jc w:val="both"/>
        <w:rPr>
          <w:b/>
          <w:i/>
        </w:rPr>
      </w:pPr>
      <w:r>
        <w:t xml:space="preserve">La notion de </w:t>
      </w:r>
      <w:r w:rsidRPr="001152FE">
        <w:rPr>
          <w:b/>
          <w:color w:val="0070C0"/>
        </w:rPr>
        <w:t xml:space="preserve">caractère autre qu’industriel ou commercial </w:t>
      </w:r>
      <w:r>
        <w:t xml:space="preserve">s’apprécie au regard de la manière dont les besoins </w:t>
      </w:r>
      <w:r w:rsidRPr="00742FBD">
        <w:t>d’intérêt général</w:t>
      </w:r>
      <w:r>
        <w:t xml:space="preserve"> sont satisfaits. </w:t>
      </w:r>
      <w:r w:rsidRPr="001B206B">
        <w:rPr>
          <w:i/>
        </w:rPr>
        <w:t xml:space="preserve">Ces besoins sont en général satisfaits d’une manière autre que par l’offre de biens ou de services et il s’agit généralement d’une activité qui ne pourrait entièrement être satisfaite par les offres d’opérateurs entièrement privés. </w:t>
      </w:r>
    </w:p>
    <w:p w:rsidR="00CD1432" w:rsidRDefault="00CD1432" w:rsidP="0073243E">
      <w:pPr>
        <w:spacing w:after="0" w:line="240" w:lineRule="auto"/>
        <w:jc w:val="both"/>
      </w:pPr>
    </w:p>
    <w:p w:rsidR="005D74C9" w:rsidRDefault="005D74C9" w:rsidP="0073243E">
      <w:pPr>
        <w:spacing w:after="0" w:line="240" w:lineRule="auto"/>
        <w:jc w:val="both"/>
      </w:pPr>
    </w:p>
    <w:p w:rsidR="00CD1432" w:rsidRDefault="00CD1432" w:rsidP="00CD1432">
      <w:pPr>
        <w:spacing w:after="0" w:line="240" w:lineRule="auto"/>
        <w:jc w:val="both"/>
      </w:pPr>
      <w:r>
        <w:t xml:space="preserve">② </w:t>
      </w:r>
      <w:r w:rsidRPr="00CD1432">
        <w:rPr>
          <w:b/>
          <w:u w:val="single"/>
        </w:rPr>
        <w:t>Etre doté de la personnalité juridique</w:t>
      </w:r>
    </w:p>
    <w:p w:rsidR="00CD1432" w:rsidRPr="00CD1432" w:rsidRDefault="00CD1432" w:rsidP="00CD1432">
      <w:pPr>
        <w:spacing w:after="0" w:line="240" w:lineRule="auto"/>
        <w:jc w:val="both"/>
        <w:rPr>
          <w:sz w:val="16"/>
          <w:szCs w:val="16"/>
        </w:rPr>
      </w:pPr>
    </w:p>
    <w:p w:rsidR="00D12CEB" w:rsidRDefault="00D12CEB" w:rsidP="0073243E">
      <w:pPr>
        <w:spacing w:after="0" w:line="240" w:lineRule="auto"/>
        <w:jc w:val="both"/>
      </w:pPr>
      <w:r>
        <w:t xml:space="preserve">Cette condition s’apprécie au regard des statuts de l’organisme maitre d’ouvrage de l’opération. </w:t>
      </w:r>
    </w:p>
    <w:p w:rsidR="005E1BCC" w:rsidRDefault="005E1BCC" w:rsidP="0073243E">
      <w:pPr>
        <w:spacing w:after="0" w:line="240" w:lineRule="auto"/>
        <w:jc w:val="both"/>
      </w:pPr>
    </w:p>
    <w:p w:rsidR="00CD1432" w:rsidRDefault="00CD1432" w:rsidP="0073243E">
      <w:pPr>
        <w:spacing w:after="0" w:line="240" w:lineRule="auto"/>
        <w:jc w:val="both"/>
      </w:pPr>
    </w:p>
    <w:p w:rsidR="00193F90" w:rsidRPr="00193F90" w:rsidRDefault="005E1BCC" w:rsidP="0073243E">
      <w:pPr>
        <w:spacing w:after="0" w:line="240" w:lineRule="auto"/>
        <w:jc w:val="both"/>
        <w:rPr>
          <w:b/>
          <w:u w:val="single"/>
        </w:rPr>
      </w:pPr>
      <w:r>
        <w:t xml:space="preserve">③ </w:t>
      </w:r>
      <w:r w:rsidR="00193F90" w:rsidRPr="00193F90">
        <w:rPr>
          <w:b/>
          <w:u w:val="single"/>
        </w:rPr>
        <w:t>Le lien avec l’Etat, les collectivités ou d’autres organismes de droit public</w:t>
      </w:r>
    </w:p>
    <w:p w:rsidR="00193F90" w:rsidRPr="00193F90" w:rsidRDefault="00193F90" w:rsidP="0073243E">
      <w:pPr>
        <w:spacing w:after="0" w:line="240" w:lineRule="auto"/>
        <w:jc w:val="both"/>
        <w:rPr>
          <w:sz w:val="16"/>
          <w:szCs w:val="16"/>
        </w:rPr>
      </w:pPr>
    </w:p>
    <w:p w:rsidR="00D35688" w:rsidRDefault="005E1BCC" w:rsidP="0073243E">
      <w:pPr>
        <w:spacing w:after="0" w:line="240" w:lineRule="auto"/>
        <w:jc w:val="both"/>
      </w:pPr>
      <w:r>
        <w:t>Pour identifier l’activité et les financements associés, il est indispensable de disposer d’une comptabilité détaillée de l’organisme maitre d’ouvrage, attestée par tout organisme compétent de droit français</w:t>
      </w:r>
      <w:r w:rsidR="00F73C94">
        <w:t xml:space="preserve"> (</w:t>
      </w:r>
      <w:r w:rsidR="00D35688">
        <w:t>commissaire aux comptes, expert-comptable, comptable public…).</w:t>
      </w:r>
    </w:p>
    <w:p w:rsidR="005E1BCC" w:rsidRDefault="00D35688" w:rsidP="0073243E">
      <w:pPr>
        <w:spacing w:after="0" w:line="240" w:lineRule="auto"/>
        <w:jc w:val="both"/>
      </w:pPr>
      <w:r>
        <w:t>L’analyse</w:t>
      </w:r>
      <w:r w:rsidR="00F73C94">
        <w:t xml:space="preserve"> se fera sur la base du bilan comptable n-1 de la structure juridique par rapport à la demande d’</w:t>
      </w:r>
      <w:r>
        <w:t>aide</w:t>
      </w:r>
      <w:r w:rsidR="005E1BCC">
        <w:t xml:space="preserve">. </w:t>
      </w:r>
    </w:p>
    <w:p w:rsidR="001127B8" w:rsidRDefault="001127B8" w:rsidP="0073243E">
      <w:pPr>
        <w:spacing w:after="0" w:line="240" w:lineRule="auto"/>
        <w:jc w:val="both"/>
      </w:pPr>
    </w:p>
    <w:p w:rsidR="00AF5E12" w:rsidRDefault="00AF5E12" w:rsidP="0073243E">
      <w:pPr>
        <w:spacing w:after="0" w:line="240" w:lineRule="auto"/>
        <w:jc w:val="both"/>
      </w:pPr>
    </w:p>
    <w:p w:rsidR="00AF5E12" w:rsidRDefault="00AF5E12" w:rsidP="00AF5E12">
      <w:pPr>
        <w:spacing w:after="0" w:line="240" w:lineRule="auto"/>
        <w:jc w:val="both"/>
      </w:pPr>
    </w:p>
    <w:p w:rsidR="00AF5E12" w:rsidRPr="00EC498E" w:rsidRDefault="00AF5E12" w:rsidP="00AF5E12">
      <w:pPr>
        <w:shd w:val="clear" w:color="auto" w:fill="0070C0"/>
        <w:spacing w:after="0" w:line="240" w:lineRule="auto"/>
        <w:jc w:val="center"/>
        <w:rPr>
          <w:b/>
          <w:color w:val="FFFFFF" w:themeColor="background1"/>
          <w:sz w:val="8"/>
          <w:szCs w:val="8"/>
          <w:u w:val="single"/>
        </w:rPr>
      </w:pPr>
    </w:p>
    <w:p w:rsidR="00AF5E12" w:rsidRDefault="00AF5E12" w:rsidP="00AF5E12">
      <w:pPr>
        <w:shd w:val="clear" w:color="auto" w:fill="0070C0"/>
        <w:spacing w:after="0" w:line="240" w:lineRule="auto"/>
        <w:jc w:val="center"/>
        <w:rPr>
          <w:b/>
          <w:color w:val="FFFFFF" w:themeColor="background1"/>
          <w:sz w:val="24"/>
          <w:szCs w:val="24"/>
          <w:u w:val="single"/>
        </w:rPr>
      </w:pPr>
      <w:r w:rsidRPr="001D10ED">
        <w:rPr>
          <w:b/>
          <w:color w:val="FFFFFF" w:themeColor="background1"/>
          <w:sz w:val="24"/>
          <w:szCs w:val="24"/>
          <w:u w:val="single"/>
        </w:rPr>
        <w:t xml:space="preserve">Cas particulier des associations </w:t>
      </w:r>
      <w:r w:rsidRPr="001D10ED">
        <w:rPr>
          <w:b/>
          <w:color w:val="FFFFFF" w:themeColor="background1"/>
          <w:u w:val="single"/>
        </w:rPr>
        <w:t>porteuses d’un Groupe d’Action Locale (GAL)</w:t>
      </w:r>
    </w:p>
    <w:p w:rsidR="00AF5E12" w:rsidRPr="001D10ED" w:rsidRDefault="00AF5E12" w:rsidP="00AF5E12">
      <w:pPr>
        <w:shd w:val="clear" w:color="auto" w:fill="0070C0"/>
        <w:spacing w:after="0" w:line="240" w:lineRule="auto"/>
        <w:jc w:val="center"/>
        <w:rPr>
          <w:b/>
          <w:color w:val="FFFFFF" w:themeColor="background1"/>
          <w:sz w:val="24"/>
          <w:szCs w:val="24"/>
          <w:u w:val="single"/>
        </w:rPr>
      </w:pPr>
      <w:r w:rsidRPr="001D10ED">
        <w:rPr>
          <w:b/>
          <w:color w:val="FFFFFF" w:themeColor="background1"/>
          <w:sz w:val="24"/>
          <w:szCs w:val="24"/>
          <w:u w:val="single"/>
        </w:rPr>
        <w:t>dans le cadre de LEADER</w:t>
      </w:r>
    </w:p>
    <w:p w:rsidR="00AF5E12" w:rsidRDefault="00AF5E12" w:rsidP="00AF5E12">
      <w:pPr>
        <w:shd w:val="clear" w:color="auto" w:fill="0070C0"/>
        <w:spacing w:after="0" w:line="240" w:lineRule="auto"/>
        <w:jc w:val="center"/>
        <w:rPr>
          <w:b/>
          <w:color w:val="FFFFFF" w:themeColor="background1"/>
        </w:rPr>
      </w:pPr>
    </w:p>
    <w:p w:rsidR="00AF5E12" w:rsidRPr="00EC498E" w:rsidRDefault="00AF5E12" w:rsidP="00AF5E12">
      <w:pPr>
        <w:shd w:val="clear" w:color="auto" w:fill="0070C0"/>
        <w:spacing w:after="0" w:line="240" w:lineRule="auto"/>
        <w:jc w:val="both"/>
        <w:rPr>
          <w:b/>
          <w:color w:val="FFFFFF" w:themeColor="background1"/>
        </w:rPr>
      </w:pPr>
      <w:r w:rsidRPr="00EC498E">
        <w:rPr>
          <w:b/>
          <w:color w:val="FFFFFF" w:themeColor="background1"/>
        </w:rPr>
        <w:t xml:space="preserve">En droit français, une association n’est pas considérée </w:t>
      </w:r>
      <w:r w:rsidRPr="00EC498E">
        <w:rPr>
          <w:b/>
          <w:i/>
          <w:color w:val="FFFFFF" w:themeColor="background1"/>
        </w:rPr>
        <w:t>de facto</w:t>
      </w:r>
      <w:r w:rsidRPr="00EC498E">
        <w:rPr>
          <w:b/>
          <w:color w:val="FFFFFF" w:themeColor="background1"/>
        </w:rPr>
        <w:t xml:space="preserve"> comme un organisme de droit public.</w:t>
      </w:r>
    </w:p>
    <w:p w:rsidR="00AF5E12" w:rsidRDefault="00AF5E12" w:rsidP="00AF5E12">
      <w:pPr>
        <w:shd w:val="clear" w:color="auto" w:fill="0070C0"/>
        <w:spacing w:after="0" w:line="240" w:lineRule="auto"/>
        <w:jc w:val="center"/>
        <w:rPr>
          <w:b/>
          <w:color w:val="FFFFFF" w:themeColor="background1"/>
        </w:rPr>
      </w:pPr>
      <w:r w:rsidRPr="00EC498E">
        <w:rPr>
          <w:b/>
          <w:color w:val="FFFFFF" w:themeColor="background1"/>
        </w:rPr>
        <w:t>Cependant, pour les associations porteuses d</w:t>
      </w:r>
      <w:r>
        <w:rPr>
          <w:b/>
          <w:color w:val="FFFFFF" w:themeColor="background1"/>
        </w:rPr>
        <w:t xml:space="preserve">’un </w:t>
      </w:r>
      <w:r w:rsidRPr="001D10ED">
        <w:rPr>
          <w:b/>
          <w:color w:val="FFFFFF" w:themeColor="background1"/>
        </w:rPr>
        <w:t>GAL</w:t>
      </w:r>
      <w:r>
        <w:rPr>
          <w:b/>
          <w:color w:val="FFFFFF" w:themeColor="background1"/>
        </w:rPr>
        <w:t xml:space="preserve"> dans le cadre de la mise en œuvre de </w:t>
      </w:r>
      <w:r w:rsidRPr="002111A0">
        <w:rPr>
          <w:b/>
          <w:color w:val="FFFFFF" w:themeColor="background1"/>
        </w:rPr>
        <w:t>LEADER</w:t>
      </w:r>
      <w:r w:rsidRPr="00EC498E">
        <w:rPr>
          <w:b/>
          <w:color w:val="FFFFFF" w:themeColor="background1"/>
        </w:rPr>
        <w:t>, le critère d’intérêt général et le critère relatif à la structure juridique sont considérés comme remplis d’office, mais il est nécessaire de vérifier la dernière condition</w:t>
      </w:r>
      <w:r>
        <w:rPr>
          <w:b/>
          <w:color w:val="FFFFFF" w:themeColor="background1"/>
        </w:rPr>
        <w:t xml:space="preserve"> (n°③), autrement dit le lien avec l’Etat, les collectivités ou d’autres organismes de droit public</w:t>
      </w:r>
      <w:r w:rsidRPr="00EC498E">
        <w:rPr>
          <w:b/>
          <w:color w:val="FFFFFF" w:themeColor="background1"/>
        </w:rPr>
        <w:t>.</w:t>
      </w:r>
      <w:r>
        <w:rPr>
          <w:b/>
          <w:color w:val="FFFFFF" w:themeColor="background1"/>
        </w:rPr>
        <w:t xml:space="preserve"> </w:t>
      </w:r>
    </w:p>
    <w:p w:rsidR="00AF5E12" w:rsidRPr="00EC498E" w:rsidRDefault="00AF5E12" w:rsidP="00AF5E12">
      <w:pPr>
        <w:shd w:val="clear" w:color="auto" w:fill="0070C0"/>
        <w:spacing w:after="0" w:line="240" w:lineRule="auto"/>
        <w:jc w:val="center"/>
        <w:rPr>
          <w:b/>
          <w:color w:val="FFFFFF" w:themeColor="background1"/>
          <w:sz w:val="8"/>
          <w:szCs w:val="8"/>
        </w:rPr>
      </w:pPr>
    </w:p>
    <w:p w:rsidR="00AF5E12" w:rsidRDefault="00AF5E12" w:rsidP="00AF5E12">
      <w:pPr>
        <w:spacing w:after="0" w:line="240" w:lineRule="auto"/>
        <w:jc w:val="both"/>
      </w:pPr>
    </w:p>
    <w:p w:rsidR="00AF5E12" w:rsidRDefault="00AF5E12" w:rsidP="0073243E">
      <w:pPr>
        <w:spacing w:after="0" w:line="240" w:lineRule="auto"/>
        <w:jc w:val="both"/>
      </w:pPr>
    </w:p>
    <w:p w:rsidR="004D6BBC" w:rsidRDefault="004D6BBC" w:rsidP="0073243E">
      <w:pPr>
        <w:spacing w:after="0" w:line="240" w:lineRule="auto"/>
        <w:jc w:val="both"/>
      </w:pPr>
    </w:p>
    <w:p w:rsidR="00EC498E" w:rsidRDefault="00EC498E" w:rsidP="0073243E">
      <w:pPr>
        <w:spacing w:after="0" w:line="240" w:lineRule="auto"/>
        <w:jc w:val="both"/>
      </w:pPr>
    </w:p>
    <w:p w:rsidR="001127B8" w:rsidRPr="00395660" w:rsidRDefault="00395660" w:rsidP="00395660">
      <w:pPr>
        <w:shd w:val="clear" w:color="auto" w:fill="0070C0"/>
        <w:spacing w:after="0" w:line="240" w:lineRule="auto"/>
        <w:jc w:val="both"/>
        <w:rPr>
          <w:b/>
          <w:color w:val="FFFFFF" w:themeColor="background1"/>
          <w:sz w:val="28"/>
          <w:szCs w:val="28"/>
        </w:rPr>
      </w:pPr>
      <w:r w:rsidRPr="00395660">
        <w:rPr>
          <w:b/>
          <w:color w:val="FFFFFF" w:themeColor="background1"/>
          <w:sz w:val="28"/>
          <w:szCs w:val="28"/>
        </w:rPr>
        <w:t>LES MODALITES DE MISE EN ŒUVRE DE LA PROCEDURE DE QUALIFICATION</w:t>
      </w:r>
    </w:p>
    <w:p w:rsidR="008C0F93" w:rsidRDefault="008C0F93" w:rsidP="0073243E">
      <w:pPr>
        <w:spacing w:after="0" w:line="240" w:lineRule="auto"/>
        <w:jc w:val="both"/>
      </w:pPr>
    </w:p>
    <w:p w:rsidR="00504FF7" w:rsidRPr="009B7A52" w:rsidRDefault="00504FF7" w:rsidP="009B7A52">
      <w:pPr>
        <w:pBdr>
          <w:top w:val="single" w:sz="4" w:space="1" w:color="auto"/>
          <w:left w:val="single" w:sz="4" w:space="4" w:color="auto"/>
          <w:bottom w:val="single" w:sz="4" w:space="1" w:color="auto"/>
          <w:right w:val="single" w:sz="4" w:space="0" w:color="auto"/>
        </w:pBdr>
        <w:spacing w:after="0" w:line="240" w:lineRule="auto"/>
        <w:jc w:val="both"/>
        <w:rPr>
          <w:b/>
          <w:color w:val="0070C0"/>
          <w:sz w:val="28"/>
          <w:szCs w:val="28"/>
        </w:rPr>
      </w:pPr>
      <w:r w:rsidRPr="009B7A52">
        <w:rPr>
          <w:color w:val="0070C0"/>
          <w:sz w:val="28"/>
          <w:szCs w:val="28"/>
        </w:rPr>
        <w:sym w:font="Wingdings" w:char="F0D8"/>
      </w:r>
      <w:r w:rsidRPr="009B7A52">
        <w:rPr>
          <w:color w:val="0070C0"/>
          <w:sz w:val="28"/>
          <w:szCs w:val="28"/>
        </w:rPr>
        <w:t xml:space="preserve"> </w:t>
      </w:r>
      <w:r w:rsidRPr="009B7A52">
        <w:rPr>
          <w:b/>
          <w:color w:val="0070C0"/>
          <w:sz w:val="28"/>
          <w:szCs w:val="28"/>
        </w:rPr>
        <w:t>Principes</w:t>
      </w:r>
    </w:p>
    <w:p w:rsidR="00504FF7" w:rsidRDefault="00504FF7" w:rsidP="0073243E">
      <w:pPr>
        <w:spacing w:after="0" w:line="240" w:lineRule="auto"/>
        <w:jc w:val="both"/>
      </w:pPr>
    </w:p>
    <w:p w:rsidR="001152FE" w:rsidRDefault="008C0F93" w:rsidP="008C0F93">
      <w:pPr>
        <w:spacing w:after="0" w:line="240" w:lineRule="auto"/>
        <w:jc w:val="both"/>
      </w:pPr>
      <w:r w:rsidRPr="00EC498E">
        <w:rPr>
          <w:b/>
        </w:rPr>
        <w:t xml:space="preserve">L’Autorité de gestion </w:t>
      </w:r>
      <w:r w:rsidR="00B90419" w:rsidRPr="00EC498E">
        <w:rPr>
          <w:b/>
        </w:rPr>
        <w:t xml:space="preserve">(AG) </w:t>
      </w:r>
      <w:r w:rsidRPr="00EC498E">
        <w:rPr>
          <w:b/>
        </w:rPr>
        <w:t>est responsable de l’expertise du statut des porteurs de projets au niveau régional</w:t>
      </w:r>
      <w:r w:rsidR="001152FE">
        <w:rPr>
          <w:rStyle w:val="Appelnotedebasdep"/>
          <w:b/>
        </w:rPr>
        <w:footnoteReference w:id="3"/>
      </w:r>
      <w:r>
        <w:t xml:space="preserve">. </w:t>
      </w:r>
    </w:p>
    <w:p w:rsidR="00C5078E" w:rsidRDefault="00B90419" w:rsidP="008C0F93">
      <w:pPr>
        <w:spacing w:after="0" w:line="240" w:lineRule="auto"/>
        <w:jc w:val="both"/>
      </w:pPr>
      <w:r>
        <w:t xml:space="preserve">Elle effectue cette expertise au dépôt de la demande par le porteur de projet. </w:t>
      </w:r>
      <w:r w:rsidR="00C5078E">
        <w:t xml:space="preserve">Le cas échéant, elle informe le demandeur en lui indiquant ses droits et </w:t>
      </w:r>
      <w:r w:rsidR="00E727C8">
        <w:t xml:space="preserve">obligations </w:t>
      </w:r>
      <w:r w:rsidR="00C5078E">
        <w:t>induits par cette qualification.</w:t>
      </w:r>
    </w:p>
    <w:p w:rsidR="00E727C8" w:rsidRDefault="00E727C8" w:rsidP="008C0F93">
      <w:pPr>
        <w:spacing w:after="0" w:line="240" w:lineRule="auto"/>
        <w:jc w:val="both"/>
      </w:pPr>
    </w:p>
    <w:p w:rsidR="008C0F93" w:rsidRDefault="00B90419" w:rsidP="008C0F93">
      <w:pPr>
        <w:spacing w:after="0" w:line="240" w:lineRule="auto"/>
        <w:jc w:val="both"/>
      </w:pPr>
      <w:r>
        <w:t>L’AG</w:t>
      </w:r>
      <w:r w:rsidR="008C0F93">
        <w:t xml:space="preserve"> inventorie et conserve la liste des organismes ayant été qualifiés de droit public </w:t>
      </w:r>
      <w:r w:rsidR="008C0F93" w:rsidRPr="00FA0A0F">
        <w:rPr>
          <w:b/>
          <w:color w:val="0070C0"/>
        </w:rPr>
        <w:t>durant toute la période de programmation</w:t>
      </w:r>
      <w:r w:rsidR="008C0F93">
        <w:t>.</w:t>
      </w:r>
    </w:p>
    <w:p w:rsidR="008C0F93" w:rsidRDefault="008C0F93" w:rsidP="008C0F93">
      <w:pPr>
        <w:spacing w:after="0" w:line="240" w:lineRule="auto"/>
        <w:jc w:val="both"/>
      </w:pPr>
    </w:p>
    <w:p w:rsidR="008C0F93" w:rsidRDefault="008C0F93" w:rsidP="008C0F93">
      <w:pPr>
        <w:spacing w:after="0" w:line="240" w:lineRule="auto"/>
        <w:jc w:val="both"/>
      </w:pPr>
      <w:r>
        <w:t xml:space="preserve">La liste régionale </w:t>
      </w:r>
      <w:r w:rsidR="00CF0288">
        <w:t xml:space="preserve">est </w:t>
      </w:r>
      <w:r>
        <w:t>organisée en distinguant :</w:t>
      </w:r>
    </w:p>
    <w:p w:rsidR="00AF5E12" w:rsidRPr="00AF5E12" w:rsidRDefault="00AF5E12" w:rsidP="008C0F93">
      <w:pPr>
        <w:spacing w:after="0" w:line="240" w:lineRule="auto"/>
        <w:jc w:val="both"/>
        <w:rPr>
          <w:sz w:val="8"/>
          <w:szCs w:val="8"/>
        </w:rPr>
      </w:pPr>
    </w:p>
    <w:p w:rsidR="008C0F93" w:rsidRDefault="008C0F93" w:rsidP="008C0F93">
      <w:pPr>
        <w:pStyle w:val="Paragraphedeliste"/>
        <w:numPr>
          <w:ilvl w:val="0"/>
          <w:numId w:val="1"/>
        </w:numPr>
        <w:spacing w:after="0" w:line="240" w:lineRule="auto"/>
        <w:jc w:val="both"/>
      </w:pPr>
      <w:r>
        <w:t xml:space="preserve">d’une part les OQDP dont les critères du point ③ </w:t>
      </w:r>
      <w:r w:rsidR="001152FE">
        <w:t xml:space="preserve">(évoqué au chapitre précédent) </w:t>
      </w:r>
      <w:r>
        <w:t>peuvent être considérés comme stables ;</w:t>
      </w:r>
    </w:p>
    <w:p w:rsidR="008C0F93" w:rsidRDefault="008C0F93" w:rsidP="008C0F93">
      <w:pPr>
        <w:pStyle w:val="Paragraphedeliste"/>
        <w:numPr>
          <w:ilvl w:val="0"/>
          <w:numId w:val="1"/>
        </w:numPr>
        <w:spacing w:after="0" w:line="240" w:lineRule="auto"/>
        <w:jc w:val="both"/>
      </w:pPr>
      <w:r>
        <w:t xml:space="preserve">d’autre part les OQDP dont les critères du </w:t>
      </w:r>
      <w:r w:rsidR="001152FE">
        <w:t xml:space="preserve">même </w:t>
      </w:r>
      <w:r>
        <w:t>point ③ sont susceptibles de varier pendant la programmation.</w:t>
      </w:r>
    </w:p>
    <w:p w:rsidR="00AF5E12" w:rsidRPr="00AF5E12" w:rsidRDefault="00AF5E12" w:rsidP="00AF5E12">
      <w:pPr>
        <w:spacing w:after="0" w:line="240" w:lineRule="auto"/>
        <w:jc w:val="both"/>
        <w:rPr>
          <w:sz w:val="8"/>
          <w:szCs w:val="8"/>
        </w:rPr>
      </w:pPr>
    </w:p>
    <w:p w:rsidR="008C0F93" w:rsidRPr="004D6BBC" w:rsidRDefault="008C0F93" w:rsidP="008C0F93">
      <w:pPr>
        <w:spacing w:after="0" w:line="240" w:lineRule="auto"/>
        <w:jc w:val="both"/>
        <w:rPr>
          <w:i/>
        </w:rPr>
      </w:pPr>
      <w:r w:rsidRPr="004D6BBC">
        <w:rPr>
          <w:i/>
        </w:rPr>
        <w:t>Dans ce dernier cas, le résultat de l’analyse n’est valable que pour l’année de la décision de qualification et pour toute la durée du projet</w:t>
      </w:r>
      <w:r w:rsidR="004D6BBC">
        <w:rPr>
          <w:i/>
        </w:rPr>
        <w:t xml:space="preserve"> (la qualification étant acquise pour la durée du projet subventionné)</w:t>
      </w:r>
      <w:r w:rsidRPr="004D6BBC">
        <w:rPr>
          <w:i/>
        </w:rPr>
        <w:t xml:space="preserve">. </w:t>
      </w:r>
    </w:p>
    <w:p w:rsidR="008C0F93" w:rsidRDefault="008C0F93" w:rsidP="008C0F93">
      <w:pPr>
        <w:spacing w:after="0" w:line="240" w:lineRule="auto"/>
        <w:jc w:val="both"/>
      </w:pPr>
      <w:r>
        <w:t xml:space="preserve"> </w:t>
      </w:r>
    </w:p>
    <w:p w:rsidR="008C0F93" w:rsidRDefault="008C0F93" w:rsidP="0073243E">
      <w:pPr>
        <w:spacing w:after="0" w:line="240" w:lineRule="auto"/>
        <w:jc w:val="both"/>
      </w:pPr>
    </w:p>
    <w:p w:rsidR="00DB4E02" w:rsidRDefault="00DB4E02" w:rsidP="0073243E">
      <w:pPr>
        <w:spacing w:after="0" w:line="240" w:lineRule="auto"/>
        <w:jc w:val="both"/>
      </w:pPr>
    </w:p>
    <w:p w:rsidR="00DB4E02" w:rsidRPr="009B7A52" w:rsidRDefault="00DB4E02" w:rsidP="00DB4E02">
      <w:pPr>
        <w:pBdr>
          <w:top w:val="single" w:sz="4" w:space="1" w:color="auto"/>
          <w:left w:val="single" w:sz="4" w:space="4" w:color="auto"/>
          <w:bottom w:val="single" w:sz="4" w:space="1" w:color="auto"/>
          <w:right w:val="single" w:sz="4" w:space="0" w:color="auto"/>
        </w:pBdr>
        <w:spacing w:after="0" w:line="240" w:lineRule="auto"/>
        <w:jc w:val="both"/>
        <w:rPr>
          <w:b/>
          <w:color w:val="0070C0"/>
          <w:sz w:val="28"/>
          <w:szCs w:val="28"/>
        </w:rPr>
      </w:pPr>
      <w:r w:rsidRPr="009B7A52">
        <w:rPr>
          <w:color w:val="0070C0"/>
          <w:sz w:val="28"/>
          <w:szCs w:val="28"/>
        </w:rPr>
        <w:sym w:font="Wingdings" w:char="F0D8"/>
      </w:r>
      <w:r w:rsidRPr="009B7A52">
        <w:rPr>
          <w:color w:val="0070C0"/>
          <w:sz w:val="28"/>
          <w:szCs w:val="28"/>
        </w:rPr>
        <w:t xml:space="preserve"> </w:t>
      </w:r>
      <w:r w:rsidRPr="00DB4E02">
        <w:rPr>
          <w:b/>
          <w:color w:val="0070C0"/>
          <w:sz w:val="28"/>
          <w:szCs w:val="28"/>
        </w:rPr>
        <w:t>Démarche et procédure régionale</w:t>
      </w:r>
    </w:p>
    <w:p w:rsidR="000F54A8" w:rsidRDefault="000F54A8" w:rsidP="0073243E">
      <w:pPr>
        <w:spacing w:after="0" w:line="240" w:lineRule="auto"/>
        <w:jc w:val="both"/>
      </w:pPr>
    </w:p>
    <w:p w:rsidR="00F9353A" w:rsidRDefault="00F9353A" w:rsidP="004D6BBC">
      <w:pPr>
        <w:spacing w:after="0" w:line="240" w:lineRule="auto"/>
        <w:jc w:val="both"/>
      </w:pPr>
      <w:r>
        <w:t xml:space="preserve">En tant qu’Autorité de gestion, la Région Hauts-de-France a précisé les </w:t>
      </w:r>
      <w:r w:rsidRPr="00CF0288">
        <w:rPr>
          <w:b/>
          <w:color w:val="0070C0"/>
        </w:rPr>
        <w:t>m</w:t>
      </w:r>
      <w:r w:rsidR="00FA0A0F" w:rsidRPr="00CF0288">
        <w:rPr>
          <w:b/>
          <w:color w:val="0070C0"/>
        </w:rPr>
        <w:t>odalités de mise en œuvre de l’analyse OQDP</w:t>
      </w:r>
      <w:r>
        <w:t xml:space="preserve"> en distinguant 2 cas de figure :</w:t>
      </w:r>
    </w:p>
    <w:p w:rsidR="00F9353A" w:rsidRPr="00F9353A" w:rsidRDefault="00F9353A" w:rsidP="004D6BBC">
      <w:pPr>
        <w:spacing w:after="0" w:line="240" w:lineRule="auto"/>
        <w:jc w:val="both"/>
        <w:rPr>
          <w:sz w:val="8"/>
          <w:szCs w:val="8"/>
        </w:rPr>
      </w:pPr>
    </w:p>
    <w:p w:rsidR="004D6BBC" w:rsidRDefault="00FA0A0F" w:rsidP="00F9353A">
      <w:pPr>
        <w:pStyle w:val="Paragraphedeliste"/>
        <w:numPr>
          <w:ilvl w:val="0"/>
          <w:numId w:val="1"/>
        </w:numPr>
        <w:spacing w:after="0" w:line="240" w:lineRule="auto"/>
        <w:jc w:val="both"/>
      </w:pPr>
      <w:r>
        <w:t xml:space="preserve">Cas n°1 : demande </w:t>
      </w:r>
      <w:r w:rsidR="00F9353A">
        <w:t xml:space="preserve">de qualification OQDP formulée par un </w:t>
      </w:r>
      <w:r>
        <w:t>GAL</w:t>
      </w:r>
      <w:r w:rsidR="00F9353A">
        <w:t xml:space="preserve"> dans le cadre de la mesure LEADER ;</w:t>
      </w:r>
    </w:p>
    <w:p w:rsidR="00FA0A0F" w:rsidRDefault="00FA0A0F" w:rsidP="00F9353A">
      <w:pPr>
        <w:pStyle w:val="Paragraphedeliste"/>
        <w:numPr>
          <w:ilvl w:val="0"/>
          <w:numId w:val="1"/>
        </w:numPr>
        <w:spacing w:after="0" w:line="240" w:lineRule="auto"/>
        <w:jc w:val="both"/>
      </w:pPr>
      <w:r>
        <w:t>Cas n°2 : demande</w:t>
      </w:r>
      <w:r w:rsidR="00F9353A">
        <w:t xml:space="preserve"> émise par l</w:t>
      </w:r>
      <w:r>
        <w:t>es autres porteurs de projets</w:t>
      </w:r>
      <w:r w:rsidR="00CF0288">
        <w:t>.</w:t>
      </w:r>
    </w:p>
    <w:p w:rsidR="004D6BBC" w:rsidRDefault="004D6BBC" w:rsidP="004D6BBC">
      <w:pPr>
        <w:spacing w:after="0" w:line="240" w:lineRule="auto"/>
        <w:jc w:val="both"/>
      </w:pPr>
    </w:p>
    <w:p w:rsidR="001F4DB8" w:rsidRDefault="002B6C88" w:rsidP="004D6BBC">
      <w:pPr>
        <w:spacing w:after="0" w:line="240" w:lineRule="auto"/>
        <w:jc w:val="both"/>
      </w:pPr>
      <w:r>
        <w:sym w:font="Wingdings" w:char="F0DC"/>
      </w:r>
      <w:r>
        <w:t xml:space="preserve"> </w:t>
      </w:r>
      <w:r w:rsidR="001F4DB8">
        <w:t xml:space="preserve">Les 2 scénarios sont détaillés dans les </w:t>
      </w:r>
      <w:r w:rsidR="001F4DB8" w:rsidRPr="002B6C88">
        <w:rPr>
          <w:b/>
        </w:rPr>
        <w:t xml:space="preserve">logigrammes figurant en annexe </w:t>
      </w:r>
      <w:r w:rsidR="001D2B61" w:rsidRPr="002B6C88">
        <w:rPr>
          <w:b/>
        </w:rPr>
        <w:t>1</w:t>
      </w:r>
      <w:r w:rsidR="001F4DB8">
        <w:t xml:space="preserve"> à la présente notice d’information : ils précisent le rôle de chaque acteur aux différentes étapes du processus, de la demande de qualification transmise par le porteur de projet à la notification de la décision.</w:t>
      </w:r>
    </w:p>
    <w:p w:rsidR="001F4DB8" w:rsidRDefault="001F4DB8" w:rsidP="004D6BBC">
      <w:pPr>
        <w:spacing w:after="0" w:line="240" w:lineRule="auto"/>
        <w:jc w:val="both"/>
      </w:pPr>
    </w:p>
    <w:p w:rsidR="002B6C88" w:rsidRDefault="002B6C88" w:rsidP="004D6BBC">
      <w:pPr>
        <w:spacing w:after="0" w:line="240" w:lineRule="auto"/>
        <w:jc w:val="both"/>
      </w:pPr>
      <w:r>
        <w:sym w:font="Wingdings" w:char="F0DC"/>
      </w:r>
      <w:r>
        <w:t xml:space="preserve"> </w:t>
      </w:r>
      <w:r w:rsidR="001D2B61">
        <w:t xml:space="preserve">A travers </w:t>
      </w:r>
      <w:r w:rsidR="001D2B61" w:rsidRPr="002B6C88">
        <w:rPr>
          <w:b/>
        </w:rPr>
        <w:t>l’annexe 2</w:t>
      </w:r>
      <w:r w:rsidR="001D2B61">
        <w:t xml:space="preserve"> jointe à cette notice</w:t>
      </w:r>
      <w:r>
        <w:t xml:space="preserve"> (« </w:t>
      </w:r>
      <w:r w:rsidRPr="002B6C88">
        <w:rPr>
          <w:i/>
        </w:rPr>
        <w:t>Analyse de la soumission des personnes morales de droit privé aux règles de la commande publique</w:t>
      </w:r>
      <w:r>
        <w:rPr>
          <w:i/>
        </w:rPr>
        <w:t> »</w:t>
      </w:r>
      <w:r>
        <w:t>)</w:t>
      </w:r>
      <w:r w:rsidR="001D2B61">
        <w:t xml:space="preserve">, le porteur de projet dispose d’un </w:t>
      </w:r>
      <w:r w:rsidR="001D2B61" w:rsidRPr="002B6C88">
        <w:rPr>
          <w:b/>
        </w:rPr>
        <w:t>formulaire à compléter et à adresser au service compétent</w:t>
      </w:r>
      <w:r w:rsidR="001D2B61">
        <w:t xml:space="preserve"> (cf. logigrammes détaillés) pour formaliser sa demande.</w:t>
      </w:r>
      <w:r>
        <w:t xml:space="preserve"> </w:t>
      </w:r>
    </w:p>
    <w:p w:rsidR="001F4DB8" w:rsidRDefault="002B6C88" w:rsidP="004D6BBC">
      <w:pPr>
        <w:spacing w:after="0" w:line="240" w:lineRule="auto"/>
        <w:jc w:val="both"/>
      </w:pPr>
      <w:r>
        <w:t xml:space="preserve">Il veillera à compléter l’ensemble des rubriques requises et à joindre les documents de référence justifiant les informations produites. </w:t>
      </w:r>
    </w:p>
    <w:p w:rsidR="00153BE5" w:rsidRDefault="00153BE5" w:rsidP="004D6BBC">
      <w:pPr>
        <w:spacing w:after="0" w:line="240" w:lineRule="auto"/>
        <w:jc w:val="both"/>
      </w:pPr>
    </w:p>
    <w:p w:rsidR="00153BE5" w:rsidRDefault="00153BE5" w:rsidP="004D6BBC">
      <w:pPr>
        <w:spacing w:after="0" w:line="240" w:lineRule="auto"/>
        <w:jc w:val="both"/>
      </w:pPr>
    </w:p>
    <w:p w:rsidR="00153BE5" w:rsidRDefault="00153BE5" w:rsidP="004D6BBC">
      <w:pPr>
        <w:spacing w:after="0" w:line="240" w:lineRule="auto"/>
        <w:jc w:val="both"/>
      </w:pPr>
    </w:p>
    <w:p w:rsidR="00153BE5" w:rsidRDefault="00153BE5" w:rsidP="00153BE5">
      <w:pPr>
        <w:spacing w:after="0" w:line="240" w:lineRule="auto"/>
        <w:jc w:val="both"/>
      </w:pPr>
    </w:p>
    <w:p w:rsidR="00153BE5" w:rsidRPr="00153BE5" w:rsidRDefault="00153BE5" w:rsidP="00153BE5">
      <w:pPr>
        <w:shd w:val="clear" w:color="auto" w:fill="FF0000"/>
        <w:spacing w:after="0" w:line="240" w:lineRule="auto"/>
        <w:jc w:val="center"/>
        <w:rPr>
          <w:b/>
          <w:color w:val="FFFFFF" w:themeColor="background1"/>
          <w:u w:val="single"/>
        </w:rPr>
      </w:pPr>
    </w:p>
    <w:p w:rsidR="00153BE5" w:rsidRDefault="00153BE5" w:rsidP="00153BE5">
      <w:pPr>
        <w:shd w:val="clear" w:color="auto" w:fill="FF0000"/>
        <w:spacing w:after="0" w:line="240" w:lineRule="auto"/>
        <w:jc w:val="both"/>
        <w:rPr>
          <w:b/>
          <w:color w:val="FFFFFF" w:themeColor="background1"/>
        </w:rPr>
      </w:pPr>
      <w:r>
        <w:rPr>
          <w:b/>
          <w:color w:val="FFFFFF" w:themeColor="background1"/>
        </w:rPr>
        <w:t>Ajouter un point de contact pour tout renseignement complémentaire ? Si oui, lequel ?...</w:t>
      </w:r>
    </w:p>
    <w:p w:rsidR="00153BE5" w:rsidRDefault="00153BE5" w:rsidP="00153BE5">
      <w:pPr>
        <w:shd w:val="clear" w:color="auto" w:fill="FF0000"/>
        <w:spacing w:after="0" w:line="240" w:lineRule="auto"/>
        <w:jc w:val="both"/>
        <w:rPr>
          <w:b/>
          <w:color w:val="FFFFFF" w:themeColor="background1"/>
        </w:rPr>
      </w:pPr>
    </w:p>
    <w:p w:rsidR="00153BE5" w:rsidRDefault="00153BE5" w:rsidP="004D6BBC">
      <w:pPr>
        <w:spacing w:after="0" w:line="240" w:lineRule="auto"/>
        <w:jc w:val="both"/>
      </w:pPr>
    </w:p>
    <w:sectPr w:rsidR="00153BE5">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6CBC" w:rsidRDefault="00AA6CBC" w:rsidP="00AA6CBC">
      <w:pPr>
        <w:spacing w:after="0" w:line="240" w:lineRule="auto"/>
      </w:pPr>
      <w:r>
        <w:separator/>
      </w:r>
    </w:p>
  </w:endnote>
  <w:endnote w:type="continuationSeparator" w:id="0">
    <w:p w:rsidR="00AA6CBC" w:rsidRDefault="00AA6CBC" w:rsidP="00AA6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6687054"/>
      <w:docPartObj>
        <w:docPartGallery w:val="Page Numbers (Bottom of Page)"/>
        <w:docPartUnique/>
      </w:docPartObj>
    </w:sdtPr>
    <w:sdtEndPr/>
    <w:sdtContent>
      <w:p w:rsidR="00AF5E12" w:rsidRDefault="00AF5E12">
        <w:pPr>
          <w:pStyle w:val="Pieddepage"/>
          <w:jc w:val="right"/>
        </w:pPr>
        <w:r>
          <w:fldChar w:fldCharType="begin"/>
        </w:r>
        <w:r>
          <w:instrText>PAGE   \* MERGEFORMAT</w:instrText>
        </w:r>
        <w:r>
          <w:fldChar w:fldCharType="separate"/>
        </w:r>
        <w:r w:rsidR="00245A89">
          <w:rPr>
            <w:noProof/>
          </w:rPr>
          <w:t>1</w:t>
        </w:r>
        <w:r>
          <w:fldChar w:fldCharType="end"/>
        </w:r>
      </w:p>
    </w:sdtContent>
  </w:sdt>
  <w:p w:rsidR="005578BC" w:rsidRDefault="005578B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6CBC" w:rsidRDefault="00AA6CBC" w:rsidP="00AA6CBC">
      <w:pPr>
        <w:spacing w:after="0" w:line="240" w:lineRule="auto"/>
      </w:pPr>
      <w:r>
        <w:separator/>
      </w:r>
    </w:p>
  </w:footnote>
  <w:footnote w:type="continuationSeparator" w:id="0">
    <w:p w:rsidR="00AA6CBC" w:rsidRDefault="00AA6CBC" w:rsidP="00AA6CBC">
      <w:pPr>
        <w:spacing w:after="0" w:line="240" w:lineRule="auto"/>
      </w:pPr>
      <w:r>
        <w:continuationSeparator/>
      </w:r>
    </w:p>
  </w:footnote>
  <w:footnote w:id="1">
    <w:p w:rsidR="00A840A3" w:rsidRDefault="00A840A3" w:rsidP="00A840A3">
      <w:pPr>
        <w:pStyle w:val="Notedebasdepage"/>
      </w:pPr>
      <w:r>
        <w:rPr>
          <w:rStyle w:val="Appelnotedebasdep"/>
        </w:rPr>
        <w:footnoteRef/>
      </w:r>
      <w:r>
        <w:t xml:space="preserve"> </w:t>
      </w:r>
      <w:hyperlink r:id="rId1" w:history="1">
        <w:r w:rsidRPr="0001208C">
          <w:rPr>
            <w:rStyle w:val="Lienhypertexte"/>
          </w:rPr>
          <w:t>https://www.economie.gouv.fr/daj/pouvoirs-adjudicateurs-et-entites-adjudicatrices-2016</w:t>
        </w:r>
      </w:hyperlink>
    </w:p>
  </w:footnote>
  <w:footnote w:id="2">
    <w:p w:rsidR="00AA6CBC" w:rsidRDefault="00AA6CBC" w:rsidP="005C2813">
      <w:pPr>
        <w:pStyle w:val="Notedebasdepage"/>
        <w:jc w:val="both"/>
      </w:pPr>
      <w:r>
        <w:rPr>
          <w:rStyle w:val="Appelnotedebasdep"/>
        </w:rPr>
        <w:footnoteRef/>
      </w:r>
      <w:r>
        <w:t xml:space="preserve"> Mise en concurrence</w:t>
      </w:r>
      <w:r w:rsidR="005C2813">
        <w:t xml:space="preserve"> des propositions</w:t>
      </w:r>
      <w:r>
        <w:t xml:space="preserve">, transparence des procédures, liberté d’accès </w:t>
      </w:r>
      <w:r w:rsidR="005C2813">
        <w:t xml:space="preserve">à la commande publique </w:t>
      </w:r>
      <w:r>
        <w:t>et égalité de traitement des candidats.</w:t>
      </w:r>
    </w:p>
  </w:footnote>
  <w:footnote w:id="3">
    <w:p w:rsidR="001152FE" w:rsidRPr="002B6C88" w:rsidRDefault="001152FE" w:rsidP="002B6C88">
      <w:pPr>
        <w:spacing w:after="0" w:line="240" w:lineRule="auto"/>
        <w:jc w:val="both"/>
        <w:rPr>
          <w:sz w:val="20"/>
          <w:szCs w:val="20"/>
        </w:rPr>
      </w:pPr>
      <w:r>
        <w:rPr>
          <w:rStyle w:val="Appelnotedebasdep"/>
        </w:rPr>
        <w:footnoteRef/>
      </w:r>
      <w:r>
        <w:t xml:space="preserve"> </w:t>
      </w:r>
      <w:r w:rsidRPr="001152FE">
        <w:rPr>
          <w:sz w:val="20"/>
          <w:szCs w:val="20"/>
        </w:rPr>
        <w:t>Le MAAF, autorité de coordination, est unique responsable de la liste nationale : celle-ci définit les établissements qualifiés de portée nationale, dont la qualification a valeur pour l’ensemble de la programmation ; les déclinaisons régionales d’un organisme d’envergure nationale pourront être ajoutées à cette liste.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0316C"/>
    <w:multiLevelType w:val="hybridMultilevel"/>
    <w:tmpl w:val="80C0B86C"/>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 w15:restartNumberingAfterBreak="0">
    <w:nsid w:val="141E7143"/>
    <w:multiLevelType w:val="hybridMultilevel"/>
    <w:tmpl w:val="F45647C0"/>
    <w:lvl w:ilvl="0" w:tplc="251CE8F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71A"/>
    <w:rsid w:val="00021DFE"/>
    <w:rsid w:val="000F54A8"/>
    <w:rsid w:val="001127B8"/>
    <w:rsid w:val="001152FE"/>
    <w:rsid w:val="00153BE5"/>
    <w:rsid w:val="00160F95"/>
    <w:rsid w:val="00193F90"/>
    <w:rsid w:val="001B206B"/>
    <w:rsid w:val="001D10ED"/>
    <w:rsid w:val="001D2B61"/>
    <w:rsid w:val="001F4DB8"/>
    <w:rsid w:val="002111A0"/>
    <w:rsid w:val="00245A89"/>
    <w:rsid w:val="0026767C"/>
    <w:rsid w:val="002B6C88"/>
    <w:rsid w:val="00304581"/>
    <w:rsid w:val="00344262"/>
    <w:rsid w:val="00347156"/>
    <w:rsid w:val="00395660"/>
    <w:rsid w:val="004A0B91"/>
    <w:rsid w:val="004B444E"/>
    <w:rsid w:val="004D6BBC"/>
    <w:rsid w:val="00504FF7"/>
    <w:rsid w:val="0054425B"/>
    <w:rsid w:val="005578BC"/>
    <w:rsid w:val="005C2813"/>
    <w:rsid w:val="005D74C9"/>
    <w:rsid w:val="005E1BCC"/>
    <w:rsid w:val="005F2D46"/>
    <w:rsid w:val="006902E9"/>
    <w:rsid w:val="006B47E9"/>
    <w:rsid w:val="006F5309"/>
    <w:rsid w:val="006F582F"/>
    <w:rsid w:val="0073243E"/>
    <w:rsid w:val="00742FBD"/>
    <w:rsid w:val="007946A1"/>
    <w:rsid w:val="007A4A8B"/>
    <w:rsid w:val="007B5C62"/>
    <w:rsid w:val="00816BF6"/>
    <w:rsid w:val="00823BD1"/>
    <w:rsid w:val="008C0F93"/>
    <w:rsid w:val="008D7D09"/>
    <w:rsid w:val="00936706"/>
    <w:rsid w:val="0097634B"/>
    <w:rsid w:val="009804DE"/>
    <w:rsid w:val="009B7A52"/>
    <w:rsid w:val="009E126E"/>
    <w:rsid w:val="00A0574C"/>
    <w:rsid w:val="00A537BE"/>
    <w:rsid w:val="00A8353B"/>
    <w:rsid w:val="00A840A3"/>
    <w:rsid w:val="00AA6CBC"/>
    <w:rsid w:val="00AD01B1"/>
    <w:rsid w:val="00AE5BA6"/>
    <w:rsid w:val="00AF5E12"/>
    <w:rsid w:val="00B75F49"/>
    <w:rsid w:val="00B90419"/>
    <w:rsid w:val="00C5078E"/>
    <w:rsid w:val="00CB51BF"/>
    <w:rsid w:val="00CD1432"/>
    <w:rsid w:val="00CF0288"/>
    <w:rsid w:val="00D12CEB"/>
    <w:rsid w:val="00D35688"/>
    <w:rsid w:val="00D71139"/>
    <w:rsid w:val="00DB4E02"/>
    <w:rsid w:val="00DF6490"/>
    <w:rsid w:val="00DF6F09"/>
    <w:rsid w:val="00E0471A"/>
    <w:rsid w:val="00E6727C"/>
    <w:rsid w:val="00E727C8"/>
    <w:rsid w:val="00EC4609"/>
    <w:rsid w:val="00EC498E"/>
    <w:rsid w:val="00F00C54"/>
    <w:rsid w:val="00F16CE9"/>
    <w:rsid w:val="00F519E8"/>
    <w:rsid w:val="00F73C94"/>
    <w:rsid w:val="00F75282"/>
    <w:rsid w:val="00F7756A"/>
    <w:rsid w:val="00F9353A"/>
    <w:rsid w:val="00FA0A0F"/>
    <w:rsid w:val="00FB29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869FC226-6DFA-409A-9130-D9666593B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4425B"/>
    <w:pPr>
      <w:ind w:left="720"/>
      <w:contextualSpacing/>
    </w:pPr>
  </w:style>
  <w:style w:type="paragraph" w:styleId="Notedebasdepage">
    <w:name w:val="footnote text"/>
    <w:basedOn w:val="Normal"/>
    <w:link w:val="NotedebasdepageCar"/>
    <w:uiPriority w:val="99"/>
    <w:semiHidden/>
    <w:unhideWhenUsed/>
    <w:rsid w:val="00AA6CB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A6CBC"/>
    <w:rPr>
      <w:sz w:val="20"/>
      <w:szCs w:val="20"/>
    </w:rPr>
  </w:style>
  <w:style w:type="character" w:styleId="Appelnotedebasdep">
    <w:name w:val="footnote reference"/>
    <w:basedOn w:val="Policepardfaut"/>
    <w:uiPriority w:val="99"/>
    <w:semiHidden/>
    <w:unhideWhenUsed/>
    <w:rsid w:val="00AA6CBC"/>
    <w:rPr>
      <w:vertAlign w:val="superscript"/>
    </w:rPr>
  </w:style>
  <w:style w:type="paragraph" w:styleId="En-tte">
    <w:name w:val="header"/>
    <w:basedOn w:val="Normal"/>
    <w:link w:val="En-tteCar"/>
    <w:uiPriority w:val="99"/>
    <w:unhideWhenUsed/>
    <w:rsid w:val="005578BC"/>
    <w:pPr>
      <w:tabs>
        <w:tab w:val="center" w:pos="4536"/>
        <w:tab w:val="right" w:pos="9072"/>
      </w:tabs>
      <w:spacing w:after="0" w:line="240" w:lineRule="auto"/>
    </w:pPr>
  </w:style>
  <w:style w:type="character" w:customStyle="1" w:styleId="En-tteCar">
    <w:name w:val="En-tête Car"/>
    <w:basedOn w:val="Policepardfaut"/>
    <w:link w:val="En-tte"/>
    <w:uiPriority w:val="99"/>
    <w:rsid w:val="005578BC"/>
  </w:style>
  <w:style w:type="paragraph" w:styleId="Pieddepage">
    <w:name w:val="footer"/>
    <w:basedOn w:val="Normal"/>
    <w:link w:val="PieddepageCar"/>
    <w:uiPriority w:val="99"/>
    <w:unhideWhenUsed/>
    <w:rsid w:val="005578B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578BC"/>
  </w:style>
  <w:style w:type="paragraph" w:styleId="Textedebulles">
    <w:name w:val="Balloon Text"/>
    <w:basedOn w:val="Normal"/>
    <w:link w:val="TextedebullesCar"/>
    <w:uiPriority w:val="99"/>
    <w:semiHidden/>
    <w:unhideWhenUsed/>
    <w:rsid w:val="0034715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47156"/>
    <w:rPr>
      <w:rFonts w:ascii="Segoe UI" w:hAnsi="Segoe UI" w:cs="Segoe UI"/>
      <w:sz w:val="18"/>
      <w:szCs w:val="18"/>
    </w:rPr>
  </w:style>
  <w:style w:type="character" w:styleId="Lienhypertexte">
    <w:name w:val="Hyperlink"/>
    <w:basedOn w:val="Policepardfaut"/>
    <w:uiPriority w:val="99"/>
    <w:unhideWhenUsed/>
    <w:rsid w:val="00A840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economie.gouv.fr/daj/pouvoirs-adjudicateurs-et-entites-adjudicatrices-2016"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70227-6CD5-4D7B-8DDF-ABCB3C517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1286</Words>
  <Characters>7077</Characters>
  <Application>Microsoft Office Word</Application>
  <DocSecurity>4</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Conseil NPdCP</Company>
  <LinksUpToDate>false</LinksUpToDate>
  <CharactersWithSpaces>8347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DAMERVAL Corinne</dc:creator>
  <cp:keywords/>
  <dc:description/>
  <cp:lastModifiedBy>HIARDOT Aurélie</cp:lastModifiedBy>
  <cp:revision>2</cp:revision>
  <cp:lastPrinted>2017-05-15T11:36:00Z</cp:lastPrinted>
  <dcterms:created xsi:type="dcterms:W3CDTF">2017-10-04T07:19:00Z</dcterms:created>
  <dcterms:modified xsi:type="dcterms:W3CDTF">2017-10-04T07:19:00Z</dcterms:modified>
</cp:coreProperties>
</file>